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00A3" w14:textId="6D9224E0" w:rsidR="00756FAE" w:rsidRPr="00EA2C95" w:rsidRDefault="005A4FEA" w:rsidP="005A4FEA">
      <w:pPr>
        <w:jc w:val="center"/>
        <w:rPr>
          <w:rFonts w:ascii="Bookman Old Style" w:hAnsi="Bookman Old Style" w:cstheme="minorHAnsi"/>
          <w:b/>
          <w:sz w:val="22"/>
          <w:szCs w:val="22"/>
        </w:rPr>
      </w:pPr>
      <w:r w:rsidRPr="00EA2C95">
        <w:rPr>
          <w:rFonts w:ascii="Bookman Old Style" w:hAnsi="Bookman Old Style" w:cstheme="minorHAnsi"/>
          <w:b/>
          <w:sz w:val="22"/>
          <w:szCs w:val="22"/>
        </w:rPr>
        <w:t xml:space="preserve">INFORME DE PONENCIA PARA </w:t>
      </w:r>
      <w:r w:rsidR="00725646">
        <w:rPr>
          <w:rFonts w:ascii="Bookman Old Style" w:hAnsi="Bookman Old Style" w:cstheme="minorHAnsi"/>
          <w:b/>
          <w:sz w:val="22"/>
          <w:szCs w:val="22"/>
        </w:rPr>
        <w:t>SEGUNDO</w:t>
      </w:r>
      <w:r w:rsidRPr="00EA2C95">
        <w:rPr>
          <w:rFonts w:ascii="Bookman Old Style" w:hAnsi="Bookman Old Style" w:cstheme="minorHAnsi"/>
          <w:b/>
          <w:sz w:val="22"/>
          <w:szCs w:val="22"/>
        </w:rPr>
        <w:t xml:space="preserve"> DEBATE AL PROYECTO DE LEY NÚMERO 007 DE 2022 CÁMARA </w:t>
      </w:r>
      <w:r w:rsidRPr="00EA2C95">
        <w:rPr>
          <w:rFonts w:ascii="Bookman Old Style" w:hAnsi="Bookman Old Style" w:cstheme="minorHAnsi"/>
          <w:sz w:val="22"/>
          <w:szCs w:val="22"/>
        </w:rPr>
        <w:t>“</w:t>
      </w:r>
      <w:r w:rsidRPr="00EA2C95">
        <w:rPr>
          <w:rFonts w:ascii="Bookman Old Style" w:hAnsi="Bookman Old Style" w:cstheme="minorHAnsi"/>
          <w:i/>
          <w:iCs/>
          <w:sz w:val="22"/>
          <w:szCs w:val="22"/>
        </w:rPr>
        <w:t xml:space="preserve">Por el cual se </w:t>
      </w:r>
      <w:r w:rsidR="009729E7">
        <w:rPr>
          <w:rFonts w:ascii="Bookman Old Style" w:hAnsi="Bookman Old Style" w:cstheme="minorHAnsi"/>
          <w:i/>
          <w:iCs/>
          <w:sz w:val="22"/>
          <w:szCs w:val="22"/>
        </w:rPr>
        <w:t>prohíbe</w:t>
      </w:r>
      <w:r w:rsidRPr="00EA2C95">
        <w:rPr>
          <w:rFonts w:ascii="Bookman Old Style" w:hAnsi="Bookman Old Style" w:cstheme="minorHAnsi"/>
          <w:i/>
          <w:iCs/>
          <w:sz w:val="22"/>
          <w:szCs w:val="22"/>
        </w:rPr>
        <w:t>n las prácticas taurinas en el territorio nacional y se dictan otras disposiciones</w:t>
      </w:r>
      <w:r w:rsidRPr="00EA2C95">
        <w:rPr>
          <w:rFonts w:ascii="Bookman Old Style" w:hAnsi="Bookman Old Style" w:cstheme="minorHAnsi"/>
          <w:sz w:val="22"/>
          <w:szCs w:val="22"/>
        </w:rPr>
        <w:t>”.</w:t>
      </w:r>
    </w:p>
    <w:p w14:paraId="23AF5CB6" w14:textId="77777777" w:rsidR="00756FAE" w:rsidRPr="00EA2C95" w:rsidRDefault="00756FAE">
      <w:pPr>
        <w:rPr>
          <w:rFonts w:ascii="Bookman Old Style" w:eastAsia="Bookman Old Style" w:hAnsi="Bookman Old Style" w:cs="Bookman Old Style"/>
          <w:color w:val="000000"/>
          <w:sz w:val="22"/>
          <w:szCs w:val="22"/>
        </w:rPr>
      </w:pPr>
    </w:p>
    <w:p w14:paraId="42B793B5" w14:textId="77777777" w:rsidR="0047400B" w:rsidRPr="00EA2C95" w:rsidRDefault="0047400B">
      <w:pPr>
        <w:rPr>
          <w:rFonts w:ascii="Bookman Old Style" w:eastAsia="Bookman Old Style" w:hAnsi="Bookman Old Style" w:cs="Bookman Old Style"/>
          <w:color w:val="000000"/>
          <w:sz w:val="22"/>
          <w:szCs w:val="22"/>
        </w:rPr>
      </w:pPr>
    </w:p>
    <w:p w14:paraId="799E444E" w14:textId="03EF6174" w:rsidR="005A4FEA" w:rsidRPr="00EA2C95" w:rsidRDefault="005A4FEA" w:rsidP="005A4FEA">
      <w:pPr>
        <w:rPr>
          <w:rFonts w:ascii="Bookman Old Style" w:hAnsi="Bookman Old Style" w:cstheme="minorHAnsi"/>
          <w:sz w:val="22"/>
          <w:szCs w:val="22"/>
        </w:rPr>
      </w:pPr>
      <w:r w:rsidRPr="00EA2C95">
        <w:rPr>
          <w:rFonts w:ascii="Bookman Old Style" w:hAnsi="Bookman Old Style" w:cstheme="minorHAnsi"/>
          <w:sz w:val="22"/>
          <w:szCs w:val="22"/>
        </w:rPr>
        <w:t xml:space="preserve">Bogotá D.C. </w:t>
      </w:r>
      <w:r w:rsidR="00725646">
        <w:rPr>
          <w:rFonts w:ascii="Bookman Old Style" w:hAnsi="Bookman Old Style" w:cstheme="minorHAnsi"/>
          <w:sz w:val="22"/>
          <w:szCs w:val="22"/>
        </w:rPr>
        <w:t>14</w:t>
      </w:r>
      <w:r w:rsidRPr="00EA2C95">
        <w:rPr>
          <w:rFonts w:ascii="Bookman Old Style" w:hAnsi="Bookman Old Style" w:cstheme="minorHAnsi"/>
          <w:sz w:val="22"/>
          <w:szCs w:val="22"/>
        </w:rPr>
        <w:t xml:space="preserve"> de </w:t>
      </w:r>
      <w:r w:rsidR="00725646">
        <w:rPr>
          <w:rFonts w:ascii="Bookman Old Style" w:hAnsi="Bookman Old Style" w:cstheme="minorHAnsi"/>
          <w:sz w:val="22"/>
          <w:szCs w:val="22"/>
        </w:rPr>
        <w:t>septiembre</w:t>
      </w:r>
      <w:r w:rsidRPr="00EA2C95">
        <w:rPr>
          <w:rFonts w:ascii="Bookman Old Style" w:hAnsi="Bookman Old Style" w:cstheme="minorHAnsi"/>
          <w:sz w:val="22"/>
          <w:szCs w:val="22"/>
        </w:rPr>
        <w:t xml:space="preserve"> de 2022</w:t>
      </w:r>
    </w:p>
    <w:p w14:paraId="47AF5088" w14:textId="77777777" w:rsidR="005A4FEA" w:rsidRPr="00EA2C95" w:rsidRDefault="005A4FEA" w:rsidP="005A4FEA">
      <w:pPr>
        <w:rPr>
          <w:rFonts w:ascii="Bookman Old Style" w:hAnsi="Bookman Old Style" w:cstheme="minorHAnsi"/>
          <w:sz w:val="22"/>
          <w:szCs w:val="22"/>
        </w:rPr>
      </w:pPr>
    </w:p>
    <w:p w14:paraId="2BB15656" w14:textId="77777777" w:rsidR="005A4FEA" w:rsidRPr="00EA2C95" w:rsidRDefault="005A4FEA" w:rsidP="005A4FEA">
      <w:pPr>
        <w:rPr>
          <w:rFonts w:ascii="Bookman Old Style" w:hAnsi="Bookman Old Style" w:cstheme="minorHAnsi"/>
          <w:sz w:val="22"/>
          <w:szCs w:val="22"/>
        </w:rPr>
      </w:pPr>
    </w:p>
    <w:p w14:paraId="4D49EE6B" w14:textId="77777777" w:rsidR="005A4FEA" w:rsidRPr="00EA2C95" w:rsidRDefault="005A4FEA" w:rsidP="005A4FEA">
      <w:pPr>
        <w:rPr>
          <w:rFonts w:ascii="Bookman Old Style" w:hAnsi="Bookman Old Style" w:cstheme="minorHAnsi"/>
          <w:sz w:val="22"/>
          <w:szCs w:val="22"/>
        </w:rPr>
      </w:pPr>
      <w:r w:rsidRPr="00EA2C95">
        <w:rPr>
          <w:rFonts w:ascii="Bookman Old Style" w:hAnsi="Bookman Old Style" w:cstheme="minorHAnsi"/>
          <w:sz w:val="22"/>
          <w:szCs w:val="22"/>
        </w:rPr>
        <w:t>Honorable Representante</w:t>
      </w:r>
    </w:p>
    <w:p w14:paraId="284C5C29" w14:textId="77777777" w:rsidR="005A4FEA" w:rsidRPr="00EA2C95" w:rsidRDefault="005A4FEA" w:rsidP="005A4FEA">
      <w:pPr>
        <w:rPr>
          <w:rFonts w:ascii="Bookman Old Style" w:hAnsi="Bookman Old Style" w:cstheme="minorHAnsi"/>
          <w:b/>
          <w:bCs/>
          <w:sz w:val="22"/>
          <w:szCs w:val="22"/>
        </w:rPr>
      </w:pPr>
      <w:r w:rsidRPr="00EA2C95">
        <w:rPr>
          <w:rFonts w:ascii="Bookman Old Style" w:hAnsi="Bookman Old Style" w:cstheme="minorHAnsi"/>
          <w:b/>
          <w:bCs/>
          <w:sz w:val="22"/>
          <w:szCs w:val="22"/>
        </w:rPr>
        <w:t>JUAN CARLOS WILLS OSPINA</w:t>
      </w:r>
    </w:p>
    <w:p w14:paraId="147849D8" w14:textId="77777777" w:rsidR="005A4FEA" w:rsidRPr="00EA2C95" w:rsidRDefault="005A4FEA" w:rsidP="005A4FEA">
      <w:pPr>
        <w:rPr>
          <w:rFonts w:ascii="Bookman Old Style" w:hAnsi="Bookman Old Style" w:cstheme="minorHAnsi"/>
          <w:sz w:val="22"/>
          <w:szCs w:val="22"/>
        </w:rPr>
      </w:pPr>
      <w:r w:rsidRPr="00EA2C95">
        <w:rPr>
          <w:rFonts w:ascii="Bookman Old Style" w:hAnsi="Bookman Old Style" w:cstheme="minorHAnsi"/>
          <w:sz w:val="22"/>
          <w:szCs w:val="22"/>
        </w:rPr>
        <w:t>Presidente</w:t>
      </w:r>
    </w:p>
    <w:p w14:paraId="65B598BE" w14:textId="77777777" w:rsidR="005A4FEA" w:rsidRPr="00EA2C95" w:rsidRDefault="005A4FEA" w:rsidP="005A4FEA">
      <w:pPr>
        <w:rPr>
          <w:rFonts w:ascii="Bookman Old Style" w:hAnsi="Bookman Old Style" w:cstheme="minorHAnsi"/>
          <w:b/>
          <w:bCs/>
          <w:sz w:val="22"/>
          <w:szCs w:val="22"/>
        </w:rPr>
      </w:pPr>
      <w:r w:rsidRPr="00EA2C95">
        <w:rPr>
          <w:rFonts w:ascii="Bookman Old Style" w:hAnsi="Bookman Old Style" w:cstheme="minorHAnsi"/>
          <w:b/>
          <w:bCs/>
          <w:sz w:val="22"/>
          <w:szCs w:val="22"/>
        </w:rPr>
        <w:t>Comisión Primera Constitucional</w:t>
      </w:r>
    </w:p>
    <w:p w14:paraId="02B1907C" w14:textId="77777777" w:rsidR="005A4FEA" w:rsidRPr="00EA2C95" w:rsidRDefault="005A4FEA" w:rsidP="005A4FEA">
      <w:pPr>
        <w:rPr>
          <w:rFonts w:ascii="Bookman Old Style" w:hAnsi="Bookman Old Style" w:cstheme="minorHAnsi"/>
          <w:sz w:val="22"/>
          <w:szCs w:val="22"/>
        </w:rPr>
      </w:pPr>
      <w:r w:rsidRPr="00EA2C95">
        <w:rPr>
          <w:rFonts w:ascii="Bookman Old Style" w:hAnsi="Bookman Old Style" w:cstheme="minorHAnsi"/>
          <w:sz w:val="22"/>
          <w:szCs w:val="22"/>
        </w:rPr>
        <w:t>Cámara de Representantes</w:t>
      </w:r>
    </w:p>
    <w:p w14:paraId="7100A841" w14:textId="77777777" w:rsidR="005A4FEA" w:rsidRPr="00EA2C95" w:rsidRDefault="005A4FEA" w:rsidP="005A4FEA">
      <w:pPr>
        <w:rPr>
          <w:rFonts w:ascii="Bookman Old Style" w:hAnsi="Bookman Old Style" w:cstheme="minorHAnsi"/>
          <w:sz w:val="22"/>
          <w:szCs w:val="22"/>
        </w:rPr>
      </w:pPr>
      <w:r w:rsidRPr="00EA2C95">
        <w:rPr>
          <w:rFonts w:ascii="Bookman Old Style" w:hAnsi="Bookman Old Style" w:cstheme="minorHAnsi"/>
          <w:sz w:val="22"/>
          <w:szCs w:val="22"/>
        </w:rPr>
        <w:t>Ciudad.</w:t>
      </w:r>
    </w:p>
    <w:p w14:paraId="4143C332" w14:textId="77777777" w:rsidR="005A4FEA" w:rsidRPr="00EA2C95" w:rsidRDefault="005A4FEA" w:rsidP="005A4FEA">
      <w:pPr>
        <w:rPr>
          <w:rFonts w:ascii="Bookman Old Style" w:hAnsi="Bookman Old Style" w:cstheme="minorHAnsi"/>
          <w:b/>
          <w:sz w:val="22"/>
          <w:szCs w:val="22"/>
        </w:rPr>
      </w:pPr>
    </w:p>
    <w:p w14:paraId="5FA43033" w14:textId="77777777" w:rsidR="005A4FEA" w:rsidRPr="00EA2C95" w:rsidRDefault="005A4FEA" w:rsidP="005A4FEA">
      <w:pPr>
        <w:rPr>
          <w:rFonts w:ascii="Bookman Old Style" w:hAnsi="Bookman Old Style" w:cstheme="minorHAnsi"/>
          <w:b/>
          <w:sz w:val="22"/>
          <w:szCs w:val="22"/>
        </w:rPr>
      </w:pPr>
    </w:p>
    <w:p w14:paraId="38DA08F7" w14:textId="1BEAEDC2" w:rsidR="005A4FEA" w:rsidRPr="00EA2C95" w:rsidRDefault="005A4FEA" w:rsidP="005A4FEA">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EA2C95">
        <w:rPr>
          <w:rFonts w:ascii="Bookman Old Style" w:hAnsi="Bookman Old Style" w:cs="Arial"/>
          <w:b/>
          <w:bCs/>
          <w:sz w:val="22"/>
          <w:szCs w:val="22"/>
          <w:lang w:val="es-ES_tradnl"/>
        </w:rPr>
        <w:t>Referencia:</w:t>
      </w:r>
      <w:r w:rsidRPr="00EA2C95">
        <w:rPr>
          <w:rFonts w:ascii="Bookman Old Style" w:hAnsi="Bookman Old Style" w:cs="Arial"/>
          <w:b/>
          <w:bCs/>
          <w:sz w:val="22"/>
          <w:szCs w:val="22"/>
          <w:lang w:val="es-ES_tradnl"/>
        </w:rPr>
        <w:tab/>
        <w:t xml:space="preserve">Informe de Ponencia para </w:t>
      </w:r>
      <w:r w:rsidR="00725646">
        <w:rPr>
          <w:rFonts w:ascii="Bookman Old Style" w:hAnsi="Bookman Old Style" w:cs="Arial"/>
          <w:b/>
          <w:bCs/>
          <w:sz w:val="22"/>
          <w:szCs w:val="22"/>
          <w:lang w:val="es-ES_tradnl"/>
        </w:rPr>
        <w:t>segundo</w:t>
      </w:r>
      <w:r w:rsidRPr="00EA2C95">
        <w:rPr>
          <w:rFonts w:ascii="Bookman Old Style" w:hAnsi="Bookman Old Style" w:cs="Arial"/>
          <w:b/>
          <w:bCs/>
          <w:sz w:val="22"/>
          <w:szCs w:val="22"/>
          <w:lang w:val="es-ES_tradnl"/>
        </w:rPr>
        <w:t xml:space="preserve"> debate al Proyecto de Ley número 007 de 2022 Cámara.</w:t>
      </w:r>
    </w:p>
    <w:p w14:paraId="1F96CFE9" w14:textId="77777777" w:rsidR="005A4FEA" w:rsidRPr="00EA2C95" w:rsidRDefault="005A4FEA" w:rsidP="005A4FEA">
      <w:pPr>
        <w:jc w:val="right"/>
        <w:rPr>
          <w:rFonts w:ascii="Bookman Old Style" w:hAnsi="Bookman Old Style" w:cstheme="minorHAnsi"/>
          <w:b/>
          <w:sz w:val="22"/>
          <w:szCs w:val="22"/>
        </w:rPr>
      </w:pPr>
    </w:p>
    <w:p w14:paraId="77B2F1DC" w14:textId="77777777" w:rsidR="005A4FEA" w:rsidRPr="00EA2C95" w:rsidRDefault="005A4FEA" w:rsidP="005A4FEA">
      <w:pPr>
        <w:rPr>
          <w:rFonts w:ascii="Bookman Old Style" w:hAnsi="Bookman Old Style" w:cstheme="minorHAnsi"/>
          <w:b/>
          <w:sz w:val="22"/>
          <w:szCs w:val="22"/>
        </w:rPr>
      </w:pPr>
    </w:p>
    <w:p w14:paraId="26F58B6C" w14:textId="77777777" w:rsidR="005A4FEA" w:rsidRPr="00EA2C95" w:rsidRDefault="005A4FEA" w:rsidP="005A4FEA">
      <w:pPr>
        <w:jc w:val="both"/>
        <w:rPr>
          <w:rFonts w:ascii="Bookman Old Style" w:hAnsi="Bookman Old Style" w:cstheme="minorHAnsi"/>
          <w:sz w:val="22"/>
          <w:szCs w:val="22"/>
        </w:rPr>
      </w:pPr>
      <w:r w:rsidRPr="00EA2C95">
        <w:rPr>
          <w:rFonts w:ascii="Bookman Old Style" w:hAnsi="Bookman Old Style" w:cstheme="minorHAnsi"/>
          <w:sz w:val="22"/>
          <w:szCs w:val="22"/>
        </w:rPr>
        <w:t>Honorables Representantes:</w:t>
      </w:r>
    </w:p>
    <w:p w14:paraId="34F26382" w14:textId="77777777" w:rsidR="005A4FEA" w:rsidRPr="00EA2C95" w:rsidRDefault="005A4FEA" w:rsidP="005A4FEA">
      <w:pPr>
        <w:jc w:val="both"/>
        <w:rPr>
          <w:rFonts w:ascii="Bookman Old Style" w:hAnsi="Bookman Old Style" w:cstheme="minorHAnsi"/>
          <w:sz w:val="22"/>
          <w:szCs w:val="22"/>
        </w:rPr>
      </w:pPr>
    </w:p>
    <w:p w14:paraId="4FEB7987" w14:textId="53230861" w:rsidR="00756FAE" w:rsidRPr="00EA2C95" w:rsidRDefault="005A4FEA" w:rsidP="005A4FEA">
      <w:pPr>
        <w:pStyle w:val="NormalWeb"/>
        <w:shd w:val="clear" w:color="auto" w:fill="FFFFFF"/>
        <w:spacing w:before="0" w:beforeAutospacing="0" w:after="0" w:afterAutospacing="0"/>
        <w:jc w:val="both"/>
        <w:rPr>
          <w:rFonts w:ascii="Bookman Old Style" w:hAnsi="Bookman Old Style" w:cs="Arial"/>
          <w:sz w:val="22"/>
          <w:szCs w:val="22"/>
          <w:lang w:val="es-ES"/>
        </w:rPr>
        <w:sectPr w:rsidR="00756FAE" w:rsidRPr="00EA2C95">
          <w:headerReference w:type="default" r:id="rId8"/>
          <w:footerReference w:type="default" r:id="rId9"/>
          <w:pgSz w:w="12240" w:h="15840"/>
          <w:pgMar w:top="1417" w:right="1701" w:bottom="1417" w:left="1701" w:header="708" w:footer="708" w:gutter="0"/>
          <w:pgNumType w:start="1"/>
          <w:cols w:space="720"/>
        </w:sectPr>
      </w:pPr>
      <w:r w:rsidRPr="00EA2C95">
        <w:rPr>
          <w:rFonts w:ascii="Bookman Old Style" w:hAnsi="Bookman Old Style" w:cs="Arial"/>
          <w:bCs/>
          <w:sz w:val="22"/>
          <w:szCs w:val="22"/>
          <w:lang w:val="es-ES_tradnl"/>
        </w:rPr>
        <w:t xml:space="preserve">En cumplimiento del encargo hecho por la Honorable Mesa Directiva de la Comisión Primera Constitucional de la Cámara de Representantes del Congreso de la República y de conformidad con lo establecido en el artículo 156 de la Ley 5ª de 1992, me permito rendir </w:t>
      </w:r>
      <w:r w:rsidR="003934B8">
        <w:rPr>
          <w:rFonts w:ascii="Bookman Old Style" w:hAnsi="Bookman Old Style" w:cs="Arial"/>
          <w:bCs/>
          <w:sz w:val="22"/>
          <w:szCs w:val="22"/>
          <w:lang w:val="es-ES_tradnl"/>
        </w:rPr>
        <w:t>i</w:t>
      </w:r>
      <w:r w:rsidRPr="00EA2C95">
        <w:rPr>
          <w:rFonts w:ascii="Bookman Old Style" w:hAnsi="Bookman Old Style" w:cs="Arial"/>
          <w:bCs/>
          <w:sz w:val="22"/>
          <w:szCs w:val="22"/>
          <w:lang w:val="es-ES_tradnl"/>
        </w:rPr>
        <w:t xml:space="preserve">nforme de </w:t>
      </w:r>
      <w:r w:rsidR="001C6854">
        <w:rPr>
          <w:rFonts w:ascii="Bookman Old Style" w:hAnsi="Bookman Old Style" w:cs="Arial"/>
          <w:bCs/>
          <w:sz w:val="22"/>
          <w:szCs w:val="22"/>
          <w:lang w:val="es-ES_tradnl"/>
        </w:rPr>
        <w:t>p</w:t>
      </w:r>
      <w:r w:rsidRPr="00EA2C95">
        <w:rPr>
          <w:rFonts w:ascii="Bookman Old Style" w:hAnsi="Bookman Old Style" w:cs="Arial"/>
          <w:bCs/>
          <w:sz w:val="22"/>
          <w:szCs w:val="22"/>
          <w:lang w:val="es-ES_tradnl"/>
        </w:rPr>
        <w:t xml:space="preserve">onencia para </w:t>
      </w:r>
      <w:r w:rsidR="00725646">
        <w:rPr>
          <w:rFonts w:ascii="Bookman Old Style" w:hAnsi="Bookman Old Style" w:cs="Arial"/>
          <w:bCs/>
          <w:sz w:val="22"/>
          <w:szCs w:val="22"/>
          <w:lang w:val="es-ES_tradnl"/>
        </w:rPr>
        <w:t>segundo</w:t>
      </w:r>
      <w:r w:rsidRPr="00EA2C95">
        <w:rPr>
          <w:rFonts w:ascii="Bookman Old Style" w:hAnsi="Bookman Old Style" w:cs="Arial"/>
          <w:bCs/>
          <w:sz w:val="22"/>
          <w:szCs w:val="22"/>
          <w:lang w:val="es-ES_tradnl"/>
        </w:rPr>
        <w:t xml:space="preserve"> debate al Proyecto de Ley número 007 de 2022 Cámara, </w:t>
      </w:r>
      <w:r w:rsidRPr="00EA2C95">
        <w:rPr>
          <w:rFonts w:ascii="Bookman Old Style" w:hAnsi="Bookman Old Style" w:cstheme="minorHAnsi"/>
          <w:sz w:val="22"/>
          <w:szCs w:val="22"/>
        </w:rPr>
        <w:t>“</w:t>
      </w:r>
      <w:r w:rsidRPr="00EA2C95">
        <w:rPr>
          <w:rFonts w:ascii="Bookman Old Style" w:hAnsi="Bookman Old Style" w:cstheme="minorHAnsi"/>
          <w:i/>
          <w:iCs/>
          <w:sz w:val="22"/>
          <w:szCs w:val="22"/>
        </w:rPr>
        <w:t xml:space="preserve">Por el cual se </w:t>
      </w:r>
      <w:r w:rsidR="009729E7">
        <w:rPr>
          <w:rFonts w:ascii="Bookman Old Style" w:hAnsi="Bookman Old Style" w:cstheme="minorHAnsi"/>
          <w:i/>
          <w:iCs/>
          <w:sz w:val="22"/>
          <w:szCs w:val="22"/>
        </w:rPr>
        <w:t>prohíben</w:t>
      </w:r>
      <w:r w:rsidRPr="00EA2C95">
        <w:rPr>
          <w:rFonts w:ascii="Bookman Old Style" w:hAnsi="Bookman Old Style" w:cstheme="minorHAnsi"/>
          <w:i/>
          <w:iCs/>
          <w:sz w:val="22"/>
          <w:szCs w:val="22"/>
        </w:rPr>
        <w:t xml:space="preserve"> las prácticas taurinas en el territorio nacional y se dictan otras disposiciones</w:t>
      </w:r>
      <w:r w:rsidRPr="00EA2C95">
        <w:rPr>
          <w:rFonts w:ascii="Bookman Old Style" w:hAnsi="Bookman Old Style" w:cstheme="minorHAnsi"/>
          <w:sz w:val="22"/>
          <w:szCs w:val="22"/>
        </w:rPr>
        <w:t xml:space="preserve">”, </w:t>
      </w:r>
      <w:r w:rsidRPr="00EA2C95">
        <w:rPr>
          <w:rFonts w:ascii="Bookman Old Style" w:hAnsi="Bookman Old Style" w:cs="Arial"/>
          <w:sz w:val="22"/>
          <w:szCs w:val="22"/>
          <w:lang w:val="es-ES"/>
        </w:rPr>
        <w:t>con base en las siguientes consideraciones:</w:t>
      </w:r>
    </w:p>
    <w:p w14:paraId="17A212BA" w14:textId="77777777" w:rsidR="00756FAE" w:rsidRPr="00EA2C95" w:rsidRDefault="00756FAE">
      <w:pPr>
        <w:pBdr>
          <w:top w:val="nil"/>
          <w:left w:val="nil"/>
          <w:bottom w:val="nil"/>
          <w:right w:val="nil"/>
          <w:between w:val="nil"/>
        </w:pBdr>
        <w:rPr>
          <w:rFonts w:ascii="Bookman Old Style" w:eastAsia="Bookman Old Style" w:hAnsi="Bookman Old Style" w:cs="Bookman Old Style"/>
          <w:color w:val="000000"/>
          <w:sz w:val="22"/>
          <w:szCs w:val="22"/>
        </w:rPr>
      </w:pPr>
    </w:p>
    <w:p w14:paraId="0285DEFF" w14:textId="77777777" w:rsidR="005A4FEA" w:rsidRPr="00EA2C95" w:rsidRDefault="005A4FEA" w:rsidP="005A4FEA">
      <w:pPr>
        <w:pStyle w:val="Sinespaciado"/>
        <w:pBdr>
          <w:bottom w:val="single" w:sz="4" w:space="1" w:color="auto"/>
        </w:pBdr>
        <w:tabs>
          <w:tab w:val="left" w:pos="8055"/>
        </w:tabs>
        <w:jc w:val="center"/>
        <w:rPr>
          <w:rFonts w:ascii="Bookman Old Style" w:hAnsi="Bookman Old Style" w:cs="Arial"/>
          <w:b/>
        </w:rPr>
      </w:pPr>
      <w:r w:rsidRPr="00EA2C95">
        <w:rPr>
          <w:rFonts w:ascii="Bookman Old Style" w:hAnsi="Bookman Old Style" w:cs="Arial"/>
          <w:b/>
        </w:rPr>
        <w:t>EXPOSICIÓN DE MOTIVOS.</w:t>
      </w:r>
    </w:p>
    <w:p w14:paraId="64C89581" w14:textId="77777777" w:rsidR="005A4FEA" w:rsidRPr="00EA2C95" w:rsidRDefault="005A4FEA" w:rsidP="005A4FEA">
      <w:pPr>
        <w:pStyle w:val="Sinespaciado"/>
        <w:tabs>
          <w:tab w:val="left" w:pos="8055"/>
        </w:tabs>
        <w:jc w:val="center"/>
        <w:rPr>
          <w:rFonts w:ascii="Bookman Old Style" w:hAnsi="Bookman Old Style" w:cs="Arial"/>
          <w:b/>
        </w:rPr>
      </w:pPr>
    </w:p>
    <w:p w14:paraId="7E1C70E5" w14:textId="6E06C9CE" w:rsidR="005A4FEA" w:rsidRPr="00EA2C95" w:rsidRDefault="005A4FEA" w:rsidP="005A4FEA">
      <w:pPr>
        <w:pBdr>
          <w:top w:val="nil"/>
          <w:left w:val="nil"/>
          <w:bottom w:val="nil"/>
          <w:right w:val="nil"/>
          <w:between w:val="nil"/>
        </w:pBdr>
        <w:ind w:right="115"/>
        <w:rPr>
          <w:rFonts w:ascii="Bookman Old Style" w:eastAsia="Calibri" w:hAnsi="Bookman Old Style" w:cs="Calibri"/>
          <w:b/>
          <w:sz w:val="22"/>
          <w:szCs w:val="22"/>
        </w:rPr>
      </w:pPr>
      <w:r w:rsidRPr="00EA2C95">
        <w:rPr>
          <w:rFonts w:ascii="Bookman Old Style" w:eastAsia="Calibri" w:hAnsi="Bookman Old Style" w:cs="Calibri"/>
          <w:b/>
          <w:sz w:val="22"/>
          <w:szCs w:val="22"/>
        </w:rPr>
        <w:t>CONTENIDO.</w:t>
      </w:r>
    </w:p>
    <w:p w14:paraId="1578D19C" w14:textId="77777777" w:rsidR="00EA2C95" w:rsidRPr="00EA2C95" w:rsidRDefault="00EA2C95" w:rsidP="005A4FEA">
      <w:pPr>
        <w:pBdr>
          <w:top w:val="nil"/>
          <w:left w:val="nil"/>
          <w:bottom w:val="nil"/>
          <w:right w:val="nil"/>
          <w:between w:val="nil"/>
        </w:pBdr>
        <w:ind w:right="115"/>
        <w:rPr>
          <w:rFonts w:ascii="Bookman Old Style" w:eastAsia="Calibri" w:hAnsi="Bookman Old Style" w:cs="Calibri"/>
          <w:b/>
          <w:sz w:val="22"/>
          <w:szCs w:val="22"/>
        </w:rPr>
      </w:pPr>
    </w:p>
    <w:p w14:paraId="20510C5F" w14:textId="77777777"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Trámite de la iniciativa.</w:t>
      </w:r>
    </w:p>
    <w:p w14:paraId="60546623" w14:textId="77777777"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Antecedentes del Proyecto.</w:t>
      </w:r>
    </w:p>
    <w:p w14:paraId="20DF38F3" w14:textId="6B47E9D0"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Objeto.</w:t>
      </w:r>
    </w:p>
    <w:p w14:paraId="2EFAA476" w14:textId="4D42EFFA"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Antecedentes.</w:t>
      </w:r>
    </w:p>
    <w:p w14:paraId="60840B19" w14:textId="23DEADBE"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Justificación del proyecto de ley.</w:t>
      </w:r>
    </w:p>
    <w:p w14:paraId="30BC1B14" w14:textId="7B8F37AC"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t>Normativos.</w:t>
      </w:r>
    </w:p>
    <w:p w14:paraId="4057B506" w14:textId="4B070CA9"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t>Jurisprudenciales.</w:t>
      </w:r>
    </w:p>
    <w:p w14:paraId="6A8C479F" w14:textId="372990A4"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t>Internacionales.</w:t>
      </w:r>
    </w:p>
    <w:p w14:paraId="509EC343" w14:textId="78AF0503"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t>Científicos.</w:t>
      </w:r>
    </w:p>
    <w:p w14:paraId="1A1C6E6C" w14:textId="7391021F"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lastRenderedPageBreak/>
        <w:t>Psicosociales.</w:t>
      </w:r>
    </w:p>
    <w:p w14:paraId="1D0B44B8" w14:textId="00709808"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t>Económicos.</w:t>
      </w:r>
    </w:p>
    <w:p w14:paraId="656E1D55" w14:textId="77777777"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Competencia del Congreso.</w:t>
      </w:r>
    </w:p>
    <w:p w14:paraId="4C682BA2" w14:textId="77777777"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t>Constitucional.</w:t>
      </w:r>
    </w:p>
    <w:p w14:paraId="535EB2F4" w14:textId="77777777" w:rsidR="00EA2C95" w:rsidRPr="00EA2C95" w:rsidRDefault="00EA2C95" w:rsidP="00EA2C95">
      <w:pPr>
        <w:pStyle w:val="Prrafodelista"/>
        <w:numPr>
          <w:ilvl w:val="1"/>
          <w:numId w:val="6"/>
        </w:numPr>
        <w:pBdr>
          <w:top w:val="nil"/>
          <w:left w:val="nil"/>
          <w:bottom w:val="nil"/>
          <w:right w:val="nil"/>
          <w:between w:val="nil"/>
        </w:pBdr>
        <w:spacing w:after="160" w:line="259" w:lineRule="auto"/>
        <w:ind w:left="993" w:right="115" w:hanging="633"/>
        <w:rPr>
          <w:rFonts w:ascii="Bookman Old Style" w:eastAsia="Calibri" w:hAnsi="Bookman Old Style" w:cs="Calibri"/>
          <w:bCs/>
          <w:sz w:val="22"/>
          <w:szCs w:val="22"/>
        </w:rPr>
      </w:pPr>
      <w:r w:rsidRPr="00EA2C95">
        <w:rPr>
          <w:rFonts w:ascii="Bookman Old Style" w:eastAsia="Calibri" w:hAnsi="Bookman Old Style" w:cs="Calibri"/>
          <w:bCs/>
          <w:sz w:val="22"/>
          <w:szCs w:val="22"/>
        </w:rPr>
        <w:t>Legal.</w:t>
      </w:r>
    </w:p>
    <w:p w14:paraId="730410F5" w14:textId="77777777"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Conflictos de Interés.</w:t>
      </w:r>
    </w:p>
    <w:p w14:paraId="7E0B6A6E" w14:textId="77777777"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Proposición.</w:t>
      </w:r>
    </w:p>
    <w:p w14:paraId="16FEFFAA" w14:textId="7ADFEDE1" w:rsidR="00EA2C95" w:rsidRPr="00EA2C95" w:rsidRDefault="00EA2C95" w:rsidP="00EA2C95">
      <w:pPr>
        <w:pStyle w:val="Prrafodelista"/>
        <w:numPr>
          <w:ilvl w:val="0"/>
          <w:numId w:val="6"/>
        </w:numPr>
        <w:pBdr>
          <w:top w:val="nil"/>
          <w:left w:val="nil"/>
          <w:bottom w:val="nil"/>
          <w:right w:val="nil"/>
          <w:between w:val="nil"/>
        </w:pBdr>
        <w:spacing w:after="160" w:line="259" w:lineRule="auto"/>
        <w:ind w:right="115"/>
        <w:rPr>
          <w:rFonts w:ascii="Bookman Old Style" w:eastAsia="Calibri" w:hAnsi="Bookman Old Style" w:cs="Calibri"/>
          <w:bCs/>
          <w:sz w:val="22"/>
          <w:szCs w:val="22"/>
        </w:rPr>
      </w:pPr>
      <w:r w:rsidRPr="00EA2C95">
        <w:rPr>
          <w:rFonts w:ascii="Bookman Old Style" w:eastAsia="Calibri" w:hAnsi="Bookman Old Style" w:cs="Calibri"/>
          <w:bCs/>
          <w:sz w:val="22"/>
          <w:szCs w:val="22"/>
        </w:rPr>
        <w:t>Texto propuesto para primer debate al Proyecto de Ley número 007 de 2022 Cámara.</w:t>
      </w:r>
    </w:p>
    <w:p w14:paraId="2423FBC7" w14:textId="77777777" w:rsidR="005A4FEA" w:rsidRPr="00EA2C95" w:rsidRDefault="005A4FEA" w:rsidP="005A4FEA">
      <w:pPr>
        <w:pBdr>
          <w:top w:val="nil"/>
          <w:left w:val="nil"/>
          <w:bottom w:val="nil"/>
          <w:right w:val="nil"/>
          <w:between w:val="nil"/>
        </w:pBdr>
        <w:ind w:right="115"/>
        <w:rPr>
          <w:rFonts w:ascii="Bookman Old Style" w:eastAsia="Calibri" w:hAnsi="Bookman Old Style" w:cs="Calibri"/>
          <w:b/>
          <w:sz w:val="22"/>
          <w:szCs w:val="22"/>
        </w:rPr>
      </w:pPr>
    </w:p>
    <w:p w14:paraId="2682F4F1" w14:textId="77777777" w:rsidR="00756FAE" w:rsidRPr="00EA2C95" w:rsidRDefault="00756FAE">
      <w:pPr>
        <w:pBdr>
          <w:top w:val="nil"/>
          <w:left w:val="nil"/>
          <w:bottom w:val="nil"/>
          <w:right w:val="nil"/>
          <w:between w:val="nil"/>
        </w:pBdr>
        <w:ind w:left="720"/>
        <w:jc w:val="center"/>
        <w:rPr>
          <w:rFonts w:ascii="Bookman Old Style" w:eastAsia="Bookman Old Style" w:hAnsi="Bookman Old Style" w:cs="Bookman Old Style"/>
          <w:b/>
          <w:i/>
          <w:color w:val="000000"/>
          <w:sz w:val="22"/>
          <w:szCs w:val="22"/>
        </w:rPr>
      </w:pPr>
    </w:p>
    <w:p w14:paraId="08FB93C0" w14:textId="77777777" w:rsidR="00756FAE" w:rsidRPr="00EA2C95" w:rsidRDefault="00EA2C95">
      <w:pPr>
        <w:pBdr>
          <w:top w:val="nil"/>
          <w:left w:val="nil"/>
          <w:bottom w:val="nil"/>
          <w:right w:val="nil"/>
          <w:between w:val="nil"/>
        </w:pBdr>
        <w:ind w:left="3969"/>
        <w:jc w:val="right"/>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“Los animales del mundo tienen sus propias razones para existir. No fueron creados para ser explotados por los seres humanos, de la misma manera que la población negra no fue creada para ser explotada por la blanca, o las mujeres por los hombres”. (Alice Walker).</w:t>
      </w:r>
    </w:p>
    <w:p w14:paraId="365FEA3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8A8318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3A3223E" w14:textId="3D9CB413" w:rsidR="00EA2C95" w:rsidRPr="00EA2C95" w:rsidRDefault="00EA2C95" w:rsidP="00EA2C95">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TRÁMITE DE LA INICIATIVA</w:t>
      </w:r>
      <w:r w:rsidRPr="00EA2C95">
        <w:rPr>
          <w:rFonts w:ascii="Bookman Old Style" w:eastAsia="Bookman Old Style" w:hAnsi="Bookman Old Style" w:cs="Bookman Old Style"/>
          <w:color w:val="000000"/>
          <w:sz w:val="22"/>
          <w:szCs w:val="22"/>
        </w:rPr>
        <w:t>.</w:t>
      </w:r>
    </w:p>
    <w:p w14:paraId="44657D3D" w14:textId="77777777" w:rsidR="00EA2C95" w:rsidRPr="00EA2C95" w:rsidRDefault="00EA2C95"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6F30852" w14:textId="4216B27A" w:rsidR="00EA2C95" w:rsidRDefault="00EA2C95"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El proyecto de Ley número 007 de 2022 Cámara fue radicado el día 21 de julio de 2022 por los H.R.</w:t>
      </w:r>
      <w:r>
        <w:rPr>
          <w:rFonts w:ascii="Bookman Old Style" w:eastAsia="Bookman Old Style" w:hAnsi="Bookman Old Style" w:cs="Bookman Old Style"/>
          <w:color w:val="000000"/>
          <w:sz w:val="22"/>
          <w:szCs w:val="22"/>
        </w:rPr>
        <w:t xml:space="preserve"> Juan Carlos Lozada Vargas</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Julian</w:t>
      </w:r>
      <w:proofErr w:type="spellEnd"/>
      <w:r>
        <w:rPr>
          <w:rFonts w:ascii="Bookman Old Style" w:eastAsia="Bookman Old Style" w:hAnsi="Bookman Old Style" w:cs="Bookman Old Style"/>
          <w:color w:val="000000"/>
          <w:sz w:val="22"/>
          <w:szCs w:val="22"/>
        </w:rPr>
        <w:t xml:space="preserve"> Peinado Ramírez</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María del Mar Pizarro García</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Juan Sebastián Gómez González</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Carolina Giraldo Boter</w:t>
      </w:r>
      <w:r>
        <w:rPr>
          <w:rFonts w:ascii="Bookman Old Style" w:eastAsia="Bookman Old Style" w:hAnsi="Bookman Old Style" w:cs="Bookman Old Style"/>
          <w:color w:val="000000"/>
          <w:sz w:val="22"/>
          <w:szCs w:val="22"/>
        </w:rPr>
        <w:t>o</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Os</w:t>
      </w:r>
      <w:r>
        <w:rPr>
          <w:rFonts w:ascii="Bookman Old Style" w:eastAsia="Bookman Old Style" w:hAnsi="Bookman Old Style" w:cs="Bookman Old Style"/>
          <w:color w:val="000000"/>
          <w:sz w:val="22"/>
          <w:szCs w:val="22"/>
        </w:rPr>
        <w:t>car Leonardo Villamizar Meneses</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David Ricardo Racero </w:t>
      </w:r>
      <w:proofErr w:type="spellStart"/>
      <w:r>
        <w:rPr>
          <w:rFonts w:ascii="Bookman Old Style" w:eastAsia="Bookman Old Style" w:hAnsi="Bookman Old Style" w:cs="Bookman Old Style"/>
          <w:color w:val="000000"/>
          <w:sz w:val="22"/>
          <w:szCs w:val="22"/>
        </w:rPr>
        <w:t>Mayorca</w:t>
      </w:r>
      <w:proofErr w:type="spellEnd"/>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María Fernanda Carrascal Rojas</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Susana Gómez Castaño</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Diógenes Quintero Amaya</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Leider</w:t>
      </w:r>
      <w:proofErr w:type="spellEnd"/>
      <w:r>
        <w:rPr>
          <w:rFonts w:ascii="Bookman Old Style" w:eastAsia="Bookman Old Style" w:hAnsi="Bookman Old Style" w:cs="Bookman Old Style"/>
          <w:color w:val="000000"/>
          <w:sz w:val="22"/>
          <w:szCs w:val="22"/>
        </w:rPr>
        <w:t xml:space="preserve"> Alexandra Vásquez Ochoa</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Gabriel Becerra </w:t>
      </w:r>
      <w:proofErr w:type="spellStart"/>
      <w:r>
        <w:rPr>
          <w:rFonts w:ascii="Bookman Old Style" w:eastAsia="Bookman Old Style" w:hAnsi="Bookman Old Style" w:cs="Bookman Old Style"/>
          <w:color w:val="000000"/>
          <w:sz w:val="22"/>
          <w:szCs w:val="22"/>
        </w:rPr>
        <w:t>Yañez</w:t>
      </w:r>
      <w:proofErr w:type="spellEnd"/>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sidRPr="00EA2C95">
        <w:rPr>
          <w:rFonts w:ascii="Bookman Old Style" w:eastAsia="Bookman Old Style" w:hAnsi="Bookman Old Style" w:cs="Bookman Old Style"/>
          <w:color w:val="000000"/>
          <w:sz w:val="22"/>
          <w:szCs w:val="22"/>
        </w:rPr>
        <w:t>Leyla</w:t>
      </w:r>
      <w:proofErr w:type="spellEnd"/>
      <w:r w:rsidRPr="00EA2C95">
        <w:rPr>
          <w:rFonts w:ascii="Bookman Old Style" w:eastAsia="Bookman Old Style" w:hAnsi="Bookman Old Style" w:cs="Bookman Old Style"/>
          <w:color w:val="000000"/>
          <w:sz w:val="22"/>
          <w:szCs w:val="22"/>
        </w:rPr>
        <w:t xml:space="preserve"> Marleny </w:t>
      </w:r>
      <w:r>
        <w:rPr>
          <w:rFonts w:ascii="Bookman Old Style" w:eastAsia="Bookman Old Style" w:hAnsi="Bookman Old Style" w:cs="Bookman Old Style"/>
          <w:color w:val="000000"/>
          <w:sz w:val="22"/>
          <w:szCs w:val="22"/>
        </w:rPr>
        <w:t>Rincón Trujillo</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Alfredo Mondragón Garzón</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Luis Alberto Albán Urbano</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Carlos Alberto Carreño </w:t>
      </w:r>
      <w:proofErr w:type="spellStart"/>
      <w:r>
        <w:rPr>
          <w:rFonts w:ascii="Bookman Old Style" w:eastAsia="Bookman Old Style" w:hAnsi="Bookman Old Style" w:cs="Bookman Old Style"/>
          <w:color w:val="000000"/>
          <w:sz w:val="22"/>
          <w:szCs w:val="22"/>
        </w:rPr>
        <w:t>Marin</w:t>
      </w:r>
      <w:proofErr w:type="spellEnd"/>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Jorge Andrés </w:t>
      </w:r>
      <w:proofErr w:type="spellStart"/>
      <w:r>
        <w:rPr>
          <w:rFonts w:ascii="Bookman Old Style" w:eastAsia="Bookman Old Style" w:hAnsi="Bookman Old Style" w:cs="Bookman Old Style"/>
          <w:color w:val="000000"/>
          <w:sz w:val="22"/>
          <w:szCs w:val="22"/>
        </w:rPr>
        <w:t>Cancimance</w:t>
      </w:r>
      <w:proofErr w:type="spellEnd"/>
      <w:r>
        <w:rPr>
          <w:rFonts w:ascii="Bookman Old Style" w:eastAsia="Bookman Old Style" w:hAnsi="Bookman Old Style" w:cs="Bookman Old Style"/>
          <w:color w:val="000000"/>
          <w:sz w:val="22"/>
          <w:szCs w:val="22"/>
        </w:rPr>
        <w:t xml:space="preserve"> López</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Santiago Osorio Marín</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Martha Lisbeth Alfonso Jurado</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Luvi</w:t>
      </w:r>
      <w:proofErr w:type="spellEnd"/>
      <w:r>
        <w:rPr>
          <w:rFonts w:ascii="Bookman Old Style" w:eastAsia="Bookman Old Style" w:hAnsi="Bookman Old Style" w:cs="Bookman Old Style"/>
          <w:color w:val="000000"/>
          <w:sz w:val="22"/>
          <w:szCs w:val="22"/>
        </w:rPr>
        <w:t xml:space="preserve"> Katherine Miranda Peña</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Da</w:t>
      </w:r>
      <w:r>
        <w:rPr>
          <w:rFonts w:ascii="Bookman Old Style" w:eastAsia="Bookman Old Style" w:hAnsi="Bookman Old Style" w:cs="Bookman Old Style"/>
          <w:color w:val="000000"/>
          <w:sz w:val="22"/>
          <w:szCs w:val="22"/>
        </w:rPr>
        <w:t>niel Carvalho Mejía</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Dolcey</w:t>
      </w:r>
      <w:proofErr w:type="spellEnd"/>
      <w:r>
        <w:rPr>
          <w:rFonts w:ascii="Bookman Old Style" w:eastAsia="Bookman Old Style" w:hAnsi="Bookman Old Style" w:cs="Bookman Old Style"/>
          <w:color w:val="000000"/>
          <w:sz w:val="22"/>
          <w:szCs w:val="22"/>
        </w:rPr>
        <w:t xml:space="preserve"> Oscar Torres Romero</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Álvaro Leonel Rueda Caballero</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Mónica Karina Bocanegra Pantoja</w:t>
      </w:r>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Jezmi</w:t>
      </w:r>
      <w:proofErr w:type="spellEnd"/>
      <w:r>
        <w:rPr>
          <w:rFonts w:ascii="Bookman Old Style" w:eastAsia="Bookman Old Style" w:hAnsi="Bookman Old Style" w:cs="Bookman Old Style"/>
          <w:color w:val="000000"/>
          <w:sz w:val="22"/>
          <w:szCs w:val="22"/>
        </w:rPr>
        <w:t xml:space="preserve"> Lizeth Barraza </w:t>
      </w:r>
      <w:proofErr w:type="spellStart"/>
      <w:r>
        <w:rPr>
          <w:rFonts w:ascii="Bookman Old Style" w:eastAsia="Bookman Old Style" w:hAnsi="Bookman Old Style" w:cs="Bookman Old Style"/>
          <w:color w:val="000000"/>
          <w:sz w:val="22"/>
          <w:szCs w:val="22"/>
        </w:rPr>
        <w:t>Arraut</w:t>
      </w:r>
      <w:proofErr w:type="spellEnd"/>
      <w:r w:rsidRPr="00EA2C95">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Gilma Díaz Arias</w:t>
      </w:r>
      <w:r>
        <w:rPr>
          <w:rFonts w:ascii="Bookman Old Style" w:eastAsia="Bookman Old Style" w:hAnsi="Bookman Old Style" w:cs="Bookman Old Style"/>
          <w:color w:val="000000"/>
          <w:sz w:val="22"/>
          <w:szCs w:val="22"/>
        </w:rPr>
        <w:t xml:space="preserve">, así como por los </w:t>
      </w:r>
      <w:r w:rsidRPr="00EA2C95">
        <w:rPr>
          <w:rFonts w:ascii="Bookman Old Style" w:eastAsia="Bookman Old Style" w:hAnsi="Bookman Old Style" w:cs="Bookman Old Style"/>
          <w:color w:val="000000"/>
          <w:sz w:val="22"/>
          <w:szCs w:val="22"/>
        </w:rPr>
        <w:t>H.S.</w:t>
      </w:r>
      <w:r>
        <w:rPr>
          <w:rFonts w:ascii="Bookman Old Style" w:eastAsia="Bookman Old Style" w:hAnsi="Bookman Old Style" w:cs="Bookman Old Style"/>
          <w:color w:val="000000"/>
          <w:sz w:val="22"/>
          <w:szCs w:val="22"/>
        </w:rPr>
        <w:t xml:space="preserve"> Edwing Fabián Díaz Plata</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Yuly Esmeralda Hernández Silva</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 xml:space="preserve">Ariel Fernando </w:t>
      </w:r>
      <w:proofErr w:type="spellStart"/>
      <w:r w:rsidRPr="00EA2C95">
        <w:rPr>
          <w:rFonts w:ascii="Bookman Old Style" w:eastAsia="Bookman Old Style" w:hAnsi="Bookman Old Style" w:cs="Bookman Old Style"/>
          <w:color w:val="000000"/>
          <w:sz w:val="22"/>
          <w:szCs w:val="22"/>
        </w:rPr>
        <w:t>Avíla</w:t>
      </w:r>
      <w:proofErr w:type="spellEnd"/>
      <w:r w:rsidRPr="00EA2C95">
        <w:rPr>
          <w:rFonts w:ascii="Bookman Old Style" w:eastAsia="Bookman Old Style" w:hAnsi="Bookman Old Style" w:cs="Bookman Old Style"/>
          <w:color w:val="000000"/>
          <w:sz w:val="22"/>
          <w:szCs w:val="22"/>
        </w:rPr>
        <w:t xml:space="preserve"> Mar</w:t>
      </w:r>
      <w:r>
        <w:rPr>
          <w:rFonts w:ascii="Bookman Old Style" w:eastAsia="Bookman Old Style" w:hAnsi="Bookman Old Style" w:cs="Bookman Old Style"/>
          <w:color w:val="000000"/>
          <w:sz w:val="22"/>
          <w:szCs w:val="22"/>
        </w:rPr>
        <w:t>tínez</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Omar de Jesús Restrepo Correa</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Alejandro Alberto Vega Pérez</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María José Pizarro Rodríguez</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Humberto de la Calle Lombana</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Ro</w:t>
      </w:r>
      <w:r>
        <w:rPr>
          <w:rFonts w:ascii="Bookman Old Style" w:eastAsia="Bookman Old Style" w:hAnsi="Bookman Old Style" w:cs="Bookman Old Style"/>
          <w:color w:val="000000"/>
          <w:sz w:val="22"/>
          <w:szCs w:val="22"/>
        </w:rPr>
        <w:t>y Leonardo Barreras Montealegre</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Alejandro Carlos Chacón Camargo</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Wilson Arias Castillo</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Alexánder</w:t>
      </w:r>
      <w:proofErr w:type="spellEnd"/>
      <w:r>
        <w:rPr>
          <w:rFonts w:ascii="Bookman Old Style" w:eastAsia="Bookman Old Style" w:hAnsi="Bookman Old Style" w:cs="Bookman Old Style"/>
          <w:color w:val="000000"/>
          <w:sz w:val="22"/>
          <w:szCs w:val="22"/>
        </w:rPr>
        <w:t xml:space="preserve"> López Maya</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Isabel Cristina Zuleta López</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Inti Raúl Asprilla Reyes</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David Andrés Luna Sánchez</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Iván Cepeda Castro</w:t>
      </w:r>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Ni</w:t>
      </w:r>
      <w:r>
        <w:rPr>
          <w:rFonts w:ascii="Bookman Old Style" w:eastAsia="Bookman Old Style" w:hAnsi="Bookman Old Style" w:cs="Bookman Old Style"/>
          <w:color w:val="000000"/>
          <w:sz w:val="22"/>
          <w:szCs w:val="22"/>
        </w:rPr>
        <w:t xml:space="preserve">colás Albeiro Echeverri </w:t>
      </w:r>
      <w:proofErr w:type="spellStart"/>
      <w:r>
        <w:rPr>
          <w:rFonts w:ascii="Bookman Old Style" w:eastAsia="Bookman Old Style" w:hAnsi="Bookman Old Style" w:cs="Bookman Old Style"/>
          <w:color w:val="000000"/>
          <w:sz w:val="22"/>
          <w:szCs w:val="22"/>
        </w:rPr>
        <w:t>Alvarán</w:t>
      </w:r>
      <w:proofErr w:type="spellEnd"/>
      <w:r w:rsidRPr="00EA2C95">
        <w:rPr>
          <w:rFonts w:ascii="Bookman Old Style" w:eastAsia="Bookman Old Style" w:hAnsi="Bookman Old Style" w:cs="Bookman Old Style"/>
          <w:color w:val="000000"/>
          <w:sz w:val="22"/>
          <w:szCs w:val="22"/>
        </w:rPr>
        <w:t>, H.S.</w:t>
      </w:r>
      <w:r>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color w:val="000000"/>
          <w:sz w:val="22"/>
          <w:szCs w:val="22"/>
        </w:rPr>
        <w:t>Griselda Lobo Silva</w:t>
      </w:r>
      <w:r>
        <w:rPr>
          <w:rFonts w:ascii="Bookman Old Style" w:eastAsia="Bookman Old Style" w:hAnsi="Bookman Old Style" w:cs="Bookman Old Style"/>
          <w:color w:val="000000"/>
          <w:sz w:val="22"/>
          <w:szCs w:val="22"/>
        </w:rPr>
        <w:t>.</w:t>
      </w:r>
    </w:p>
    <w:p w14:paraId="7BC9DC7E" w14:textId="00FE663C" w:rsidR="003213C1" w:rsidRDefault="003213C1"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AA4C86A" w14:textId="34DF7033" w:rsidR="003213C1" w:rsidRDefault="003213C1"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El día 05 de agosto se designó como único ponente al H.R. Juan Carlos Lozada Vargas.</w:t>
      </w:r>
    </w:p>
    <w:p w14:paraId="7AE02F7D" w14:textId="058ABBE2" w:rsidR="00725646" w:rsidRDefault="00725646"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6568F1D" w14:textId="0A061BAC" w:rsidR="00725646" w:rsidRDefault="00725646"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23 de agosto de 2022 fue anunciado el proyecto y los días 30 y 31 de agosto se adelantó la discusión en la Comisión Primera, instancia en la que el proyecto fue aprobado, como consta en las actas 05, 06 y 07.</w:t>
      </w:r>
    </w:p>
    <w:p w14:paraId="27603914" w14:textId="317A7275" w:rsidR="008253D3" w:rsidRDefault="008253D3"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185C334" w14:textId="14F8A928" w:rsidR="008253D3" w:rsidRDefault="008253D3"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Durante el debate en Comisión primera se radicaron multiplicidad de proposiciones, muchas de ellas tendientes a incluir en la prohibición otro tipo de actividades de orden cultural que implican el uso de animales, como el coleo, las cabalgatas, peleas de gallos, concursos caninos, zoológicos, acuarios, entre otros. No obstante dichas proposiciones fueron dejadas como constancia por sus autores </w:t>
      </w:r>
      <w:r w:rsidR="009729E7">
        <w:rPr>
          <w:rFonts w:ascii="Bookman Old Style" w:eastAsia="Bookman Old Style" w:hAnsi="Bookman Old Style" w:cs="Bookman Old Style"/>
          <w:color w:val="000000"/>
          <w:sz w:val="22"/>
          <w:szCs w:val="22"/>
        </w:rPr>
        <w:t>en la medida en que el ponente explicó que la intención de limitarse a prácticas taurinas, se derivaba del trabajo participativo y público que había rodeado la construcción y debates de este proyecto.</w:t>
      </w:r>
    </w:p>
    <w:p w14:paraId="2DAB42A4" w14:textId="1E285FED" w:rsidR="009729E7" w:rsidRDefault="009729E7"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DF4D27B" w14:textId="366B752B" w:rsidR="009729E7" w:rsidRDefault="009729E7"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esa medida, incluir nuevas prácticas requeriría iniciar un diálogo detallado con otro tipo de sectores ciudadanos que, hasta la fecha, no han </w:t>
      </w:r>
      <w:r w:rsidR="001C6854">
        <w:rPr>
          <w:rFonts w:ascii="Bookman Old Style" w:eastAsia="Bookman Old Style" w:hAnsi="Bookman Old Style" w:cs="Bookman Old Style"/>
          <w:color w:val="000000"/>
          <w:sz w:val="22"/>
          <w:szCs w:val="22"/>
        </w:rPr>
        <w:t>participado en los debates que han rodeado la construcción de esta iniciativa legislativa.</w:t>
      </w:r>
    </w:p>
    <w:p w14:paraId="3A0B5776" w14:textId="60270CED" w:rsidR="008253D3" w:rsidRDefault="008253D3"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527CFBD" w14:textId="5DCD1DF9" w:rsidR="008253D3" w:rsidRDefault="008253D3"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representante Álvaro Leonel Rueda presentó una proposición al artículo 3 que tenía como objeto incluir un parágrafo que señalaba lo siguiente:</w:t>
      </w:r>
    </w:p>
    <w:p w14:paraId="2103C07C" w14:textId="27FC2586" w:rsidR="008253D3" w:rsidRDefault="008253D3"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F9154B0" w14:textId="77777777" w:rsidR="008253D3" w:rsidRPr="008253D3" w:rsidRDefault="008253D3" w:rsidP="008253D3">
      <w:pPr>
        <w:pBdr>
          <w:top w:val="nil"/>
          <w:left w:val="nil"/>
          <w:bottom w:val="nil"/>
          <w:right w:val="nil"/>
          <w:between w:val="nil"/>
        </w:pBdr>
        <w:ind w:left="170" w:right="227"/>
        <w:jc w:val="both"/>
        <w:rPr>
          <w:rFonts w:ascii="Bookman Old Style" w:eastAsia="Bookman Old Style" w:hAnsi="Bookman Old Style" w:cs="Bookman Old Style"/>
          <w:i/>
          <w:iCs/>
          <w:color w:val="000000"/>
          <w:sz w:val="22"/>
          <w:szCs w:val="22"/>
        </w:rPr>
      </w:pPr>
      <w:r w:rsidRPr="008253D3">
        <w:rPr>
          <w:rFonts w:ascii="Bookman Old Style" w:eastAsia="Bookman Old Style" w:hAnsi="Bookman Old Style" w:cs="Bookman Old Style"/>
          <w:i/>
          <w:iCs/>
          <w:color w:val="000000"/>
          <w:sz w:val="22"/>
          <w:szCs w:val="22"/>
        </w:rPr>
        <w:t xml:space="preserve">Parágrafo. El incumplimiento de la prohibición prevista en el presente artículo, dará lugar a la imposición de las sanciones establecidas en el artículo 10 y 11 de la Ley 84 de 1989 modificados por el artículo 4 y 9, respectivamente, de la Ley 1774 de 2016 o las normas que la modifiquen, deroguen o sustituyan. </w:t>
      </w:r>
    </w:p>
    <w:p w14:paraId="0F383C4E" w14:textId="77777777" w:rsidR="008253D3" w:rsidRPr="00EA2C95" w:rsidRDefault="008253D3"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E0671D2" w14:textId="77777777" w:rsidR="008253D3" w:rsidRDefault="008253D3"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Dicha proposición fue avalada y su inclusión en el artículo 3 fue aprobada por los miembros de la comisión primera.</w:t>
      </w:r>
    </w:p>
    <w:p w14:paraId="60AB33FB" w14:textId="77777777" w:rsidR="008253D3" w:rsidRDefault="008253D3"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27EAA19" w14:textId="1FC199AB" w:rsidR="009729E7" w:rsidRDefault="008253D3"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 la misma forma, el representante presentó una proposición para modificar el título </w:t>
      </w:r>
      <w:r w:rsidR="009729E7">
        <w:rPr>
          <w:rFonts w:ascii="Bookman Old Style" w:eastAsia="Bookman Old Style" w:hAnsi="Bookman Old Style" w:cs="Bookman Old Style"/>
          <w:color w:val="000000"/>
          <w:sz w:val="22"/>
          <w:szCs w:val="22"/>
        </w:rPr>
        <w:t>cambiando la palabra “eliminan” por “prohíben”, solicitud que fue avalada por el ponente y aceptada por la Comisión Primera de la Cámara de Representantes”</w:t>
      </w:r>
      <w:r w:rsidR="001E787F">
        <w:rPr>
          <w:rFonts w:ascii="Bookman Old Style" w:eastAsia="Bookman Old Style" w:hAnsi="Bookman Old Style" w:cs="Bookman Old Style"/>
          <w:color w:val="000000"/>
          <w:sz w:val="22"/>
          <w:szCs w:val="22"/>
        </w:rPr>
        <w:t>.</w:t>
      </w:r>
    </w:p>
    <w:p w14:paraId="6130FA6E" w14:textId="2F04287A" w:rsidR="001E787F" w:rsidRDefault="001E787F"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D9193FB" w14:textId="575D4203" w:rsidR="001E787F" w:rsidRDefault="001E787F"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el marco de la discusión, también se recibieron múltiples </w:t>
      </w:r>
      <w:r w:rsidR="00071227">
        <w:rPr>
          <w:rFonts w:ascii="Bookman Old Style" w:eastAsia="Bookman Old Style" w:hAnsi="Bookman Old Style" w:cs="Bookman Old Style"/>
          <w:color w:val="000000"/>
          <w:sz w:val="22"/>
          <w:szCs w:val="22"/>
        </w:rPr>
        <w:t xml:space="preserve">documentos de la sociedad civil que plantearon argumentos en contra y a favor del mismo. </w:t>
      </w:r>
      <w:r w:rsidR="004A6822">
        <w:rPr>
          <w:rFonts w:ascii="Bookman Old Style" w:eastAsia="Bookman Old Style" w:hAnsi="Bookman Old Style" w:cs="Bookman Old Style"/>
          <w:color w:val="000000"/>
          <w:sz w:val="22"/>
          <w:szCs w:val="22"/>
        </w:rPr>
        <w:t xml:space="preserve">Las organizaciones Resistencia Natural (REN), Animal </w:t>
      </w:r>
      <w:proofErr w:type="spellStart"/>
      <w:r w:rsidR="004A6822">
        <w:rPr>
          <w:rFonts w:ascii="Bookman Old Style" w:eastAsia="Bookman Old Style" w:hAnsi="Bookman Old Style" w:cs="Bookman Old Style"/>
          <w:color w:val="000000"/>
          <w:sz w:val="22"/>
          <w:szCs w:val="22"/>
        </w:rPr>
        <w:t>Defenders</w:t>
      </w:r>
      <w:proofErr w:type="spellEnd"/>
      <w:r w:rsidR="004A6822">
        <w:rPr>
          <w:rFonts w:ascii="Bookman Old Style" w:eastAsia="Bookman Old Style" w:hAnsi="Bookman Old Style" w:cs="Bookman Old Style"/>
          <w:color w:val="000000"/>
          <w:sz w:val="22"/>
          <w:szCs w:val="22"/>
        </w:rPr>
        <w:t xml:space="preserve"> International y FEDAMCO, solicitaron a los Honorables Representantes de la Comisión Primera apoyar el proyecto. Mientras que el Movimiento Liberad Cultural presentó </w:t>
      </w:r>
      <w:r w:rsidR="00071227">
        <w:rPr>
          <w:rFonts w:ascii="Bookman Old Style" w:eastAsia="Bookman Old Style" w:hAnsi="Bookman Old Style" w:cs="Bookman Old Style"/>
          <w:color w:val="000000"/>
          <w:sz w:val="22"/>
          <w:szCs w:val="22"/>
        </w:rPr>
        <w:t>argumentos en contra</w:t>
      </w:r>
      <w:r w:rsidR="004A6822">
        <w:rPr>
          <w:rFonts w:ascii="Bookman Old Style" w:eastAsia="Bookman Old Style" w:hAnsi="Bookman Old Style" w:cs="Bookman Old Style"/>
          <w:color w:val="000000"/>
          <w:sz w:val="22"/>
          <w:szCs w:val="22"/>
        </w:rPr>
        <w:t xml:space="preserve"> de la iniciativa, los cuales fueron contestados por</w:t>
      </w:r>
      <w:r w:rsidR="00071227">
        <w:rPr>
          <w:rFonts w:ascii="Bookman Old Style" w:eastAsia="Bookman Old Style" w:hAnsi="Bookman Old Style" w:cs="Bookman Old Style"/>
          <w:color w:val="000000"/>
          <w:sz w:val="22"/>
          <w:szCs w:val="22"/>
        </w:rPr>
        <w:t xml:space="preserve"> el ponente durante la discusión</w:t>
      </w:r>
      <w:r w:rsidR="004A6822">
        <w:rPr>
          <w:rFonts w:ascii="Bookman Old Style" w:eastAsia="Bookman Old Style" w:hAnsi="Bookman Old Style" w:cs="Bookman Old Style"/>
          <w:color w:val="000000"/>
          <w:sz w:val="22"/>
          <w:szCs w:val="22"/>
        </w:rPr>
        <w:t xml:space="preserve">. No obstante, para ilustración de los Honorables </w:t>
      </w:r>
      <w:r w:rsidR="004A6822">
        <w:rPr>
          <w:rFonts w:ascii="Bookman Old Style" w:eastAsia="Bookman Old Style" w:hAnsi="Bookman Old Style" w:cs="Bookman Old Style"/>
          <w:color w:val="000000"/>
          <w:sz w:val="22"/>
          <w:szCs w:val="22"/>
        </w:rPr>
        <w:lastRenderedPageBreak/>
        <w:t xml:space="preserve">Representantes, se transcribe a continuación las respuestas del ponente sobre la comunicación del Movimiento Libertad Cultural. </w:t>
      </w:r>
    </w:p>
    <w:p w14:paraId="62CA1ABC" w14:textId="7E7092CF" w:rsidR="00071227" w:rsidRDefault="00071227"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FDCF894" w14:textId="49A68007" w:rsidR="00071227" w:rsidRPr="00785FF8" w:rsidRDefault="00071227" w:rsidP="00071227">
      <w:pPr>
        <w:pBdr>
          <w:top w:val="nil"/>
          <w:left w:val="nil"/>
          <w:bottom w:val="nil"/>
          <w:right w:val="nil"/>
          <w:between w:val="nil"/>
        </w:pBdr>
        <w:jc w:val="both"/>
        <w:rPr>
          <w:rFonts w:ascii="Bookman Old Style" w:hAnsi="Bookman Old Style"/>
          <w:sz w:val="22"/>
          <w:szCs w:val="22"/>
          <w:lang w:val="es-ES_tradnl"/>
        </w:rPr>
      </w:pPr>
      <w:r w:rsidRPr="00071227">
        <w:rPr>
          <w:rFonts w:ascii="Bookman Old Style" w:eastAsia="Bookman Old Style" w:hAnsi="Bookman Old Style" w:cs="Bookman Old Style"/>
          <w:color w:val="000000"/>
          <w:sz w:val="22"/>
          <w:szCs w:val="22"/>
        </w:rPr>
        <w:t>Manif</w:t>
      </w:r>
      <w:r w:rsidR="004A6822">
        <w:rPr>
          <w:rFonts w:ascii="Bookman Old Style" w:eastAsia="Bookman Old Style" w:hAnsi="Bookman Old Style" w:cs="Bookman Old Style"/>
          <w:color w:val="000000"/>
          <w:sz w:val="22"/>
          <w:szCs w:val="22"/>
        </w:rPr>
        <w:t>estaron</w:t>
      </w:r>
      <w:r w:rsidRPr="00785FF8">
        <w:rPr>
          <w:rFonts w:ascii="Bookman Old Style" w:hAnsi="Bookman Old Style"/>
          <w:sz w:val="22"/>
          <w:szCs w:val="22"/>
          <w:lang w:val="es-ES_tradnl"/>
        </w:rPr>
        <w:t xml:space="preserve"> quienes está</w:t>
      </w:r>
      <w:r>
        <w:rPr>
          <w:rFonts w:ascii="Bookman Old Style" w:hAnsi="Bookman Old Style"/>
          <w:sz w:val="22"/>
          <w:szCs w:val="22"/>
          <w:lang w:val="es-ES_tradnl"/>
        </w:rPr>
        <w:t xml:space="preserve">n </w:t>
      </w:r>
      <w:r w:rsidRPr="00785FF8">
        <w:rPr>
          <w:rFonts w:ascii="Bookman Old Style" w:hAnsi="Bookman Old Style"/>
          <w:sz w:val="22"/>
          <w:szCs w:val="22"/>
          <w:lang w:val="es-ES_tradnl"/>
        </w:rPr>
        <w:t>en contra del proyecto que</w:t>
      </w:r>
      <w:r w:rsidR="004A6822">
        <w:rPr>
          <w:rFonts w:ascii="Bookman Old Style" w:hAnsi="Bookman Old Style"/>
          <w:sz w:val="22"/>
          <w:szCs w:val="22"/>
          <w:lang w:val="es-ES_tradnl"/>
        </w:rPr>
        <w:t xml:space="preserve"> el mismo</w:t>
      </w:r>
      <w:r w:rsidRPr="00785FF8">
        <w:rPr>
          <w:rFonts w:ascii="Bookman Old Style" w:hAnsi="Bookman Old Style"/>
          <w:sz w:val="22"/>
          <w:szCs w:val="22"/>
          <w:lang w:val="es-ES_tradnl"/>
        </w:rPr>
        <w:t xml:space="preserve"> es contrario a los pronunciamientos de la Corte</w:t>
      </w:r>
      <w:r w:rsidR="004A6822">
        <w:rPr>
          <w:rFonts w:ascii="Bookman Old Style" w:hAnsi="Bookman Old Style"/>
          <w:sz w:val="22"/>
          <w:szCs w:val="22"/>
          <w:lang w:val="es-ES_tradnl"/>
        </w:rPr>
        <w:t xml:space="preserve"> Constitucional</w:t>
      </w:r>
      <w:r w:rsidRPr="00785FF8">
        <w:rPr>
          <w:rFonts w:ascii="Bookman Old Style" w:hAnsi="Bookman Old Style"/>
          <w:sz w:val="22"/>
          <w:szCs w:val="22"/>
          <w:lang w:val="es-ES_tradnl"/>
        </w:rPr>
        <w:t xml:space="preserve"> que han reconocido que las actividades culturales son un límite válido al mandato de protección animal. Para soportar su argumento cita</w:t>
      </w:r>
      <w:r w:rsidR="004A6822">
        <w:rPr>
          <w:rFonts w:ascii="Bookman Old Style" w:hAnsi="Bookman Old Style"/>
          <w:sz w:val="22"/>
          <w:szCs w:val="22"/>
          <w:lang w:val="es-ES_tradnl"/>
        </w:rPr>
        <w:t>ron</w:t>
      </w:r>
      <w:r w:rsidRPr="00785FF8">
        <w:rPr>
          <w:rFonts w:ascii="Bookman Old Style" w:hAnsi="Bookman Old Style"/>
          <w:sz w:val="22"/>
          <w:szCs w:val="22"/>
          <w:lang w:val="es-ES_tradnl"/>
        </w:rPr>
        <w:t xml:space="preserve"> varias sentencias y </w:t>
      </w:r>
      <w:r w:rsidR="003934B8" w:rsidRPr="00785FF8">
        <w:rPr>
          <w:rFonts w:ascii="Bookman Old Style" w:hAnsi="Bookman Old Style"/>
          <w:sz w:val="22"/>
          <w:szCs w:val="22"/>
          <w:lang w:val="es-ES_tradnl"/>
        </w:rPr>
        <w:t>manifestar</w:t>
      </w:r>
      <w:r w:rsidR="003934B8">
        <w:rPr>
          <w:rFonts w:ascii="Bookman Old Style" w:hAnsi="Bookman Old Style"/>
          <w:sz w:val="22"/>
          <w:szCs w:val="22"/>
          <w:lang w:val="es-ES_tradnl"/>
        </w:rPr>
        <w:t>on</w:t>
      </w:r>
      <w:r w:rsidRPr="00785FF8">
        <w:rPr>
          <w:rFonts w:ascii="Bookman Old Style" w:hAnsi="Bookman Old Style"/>
          <w:sz w:val="22"/>
          <w:szCs w:val="22"/>
          <w:lang w:val="es-ES_tradnl"/>
        </w:rPr>
        <w:t xml:space="preserve"> que:</w:t>
      </w:r>
    </w:p>
    <w:p w14:paraId="6B393435" w14:textId="77777777" w:rsidR="00071227" w:rsidRPr="00785FF8" w:rsidRDefault="00071227" w:rsidP="00071227">
      <w:pPr>
        <w:ind w:left="454"/>
        <w:jc w:val="both"/>
        <w:rPr>
          <w:rFonts w:ascii="Bookman Old Style" w:hAnsi="Bookman Old Style"/>
          <w:i/>
          <w:iCs/>
          <w:sz w:val="22"/>
          <w:szCs w:val="22"/>
          <w:lang w:val="es-ES_tradnl"/>
        </w:rPr>
      </w:pPr>
    </w:p>
    <w:p w14:paraId="0C94CB6B" w14:textId="77777777" w:rsidR="00071227" w:rsidRPr="00785FF8" w:rsidRDefault="00071227" w:rsidP="00071227">
      <w:pPr>
        <w:ind w:left="454"/>
        <w:jc w:val="both"/>
        <w:rPr>
          <w:rFonts w:ascii="Bookman Old Style" w:hAnsi="Bookman Old Style"/>
          <w:i/>
          <w:iCs/>
          <w:sz w:val="22"/>
          <w:szCs w:val="22"/>
          <w:lang w:val="es-ES_tradnl"/>
        </w:rPr>
      </w:pPr>
      <w:r w:rsidRPr="00785FF8">
        <w:rPr>
          <w:rFonts w:ascii="Bookman Old Style" w:hAnsi="Bookman Old Style"/>
          <w:i/>
          <w:iCs/>
          <w:sz w:val="22"/>
          <w:szCs w:val="22"/>
          <w:lang w:val="es-ES_tradnl"/>
        </w:rPr>
        <w:t xml:space="preserve"> “es contrario a la constitución el contenido prohibitivo del proyecto </w:t>
      </w:r>
      <w:r w:rsidRPr="00785FF8">
        <w:rPr>
          <w:rFonts w:ascii="Bookman Old Style" w:hAnsi="Bookman Old Style"/>
          <w:i/>
          <w:iCs/>
          <w:sz w:val="22"/>
          <w:szCs w:val="22"/>
        </w:rPr>
        <w:t>no solo porque pretende la abolición de una actividad cultural a partir de su estigmatización como violenta y cruel, sino porque con ello persigue dotar de un único contenido el concepto de cultura al tiempo que desconoce el carácter pluriétnico y multicultural de nuestra nación reconocido en el preámbulo de la Constitución Política</w:t>
      </w:r>
      <w:r w:rsidRPr="00785FF8">
        <w:rPr>
          <w:rFonts w:ascii="Bookman Old Style" w:hAnsi="Bookman Old Style"/>
          <w:i/>
          <w:iCs/>
          <w:sz w:val="22"/>
          <w:szCs w:val="22"/>
          <w:lang w:val="es-ES_tradnl"/>
        </w:rPr>
        <w:t>”</w:t>
      </w:r>
    </w:p>
    <w:p w14:paraId="434C8C95" w14:textId="77777777" w:rsidR="00071227" w:rsidRPr="00785FF8" w:rsidRDefault="00071227" w:rsidP="00071227">
      <w:pPr>
        <w:ind w:left="454"/>
        <w:jc w:val="both"/>
        <w:rPr>
          <w:rFonts w:ascii="Bookman Old Style" w:hAnsi="Bookman Old Style"/>
          <w:i/>
          <w:iCs/>
          <w:sz w:val="22"/>
          <w:szCs w:val="22"/>
          <w:lang w:val="es-ES_tradnl"/>
        </w:rPr>
      </w:pPr>
    </w:p>
    <w:p w14:paraId="6AB9F942" w14:textId="103FEAC3" w:rsidR="00071227" w:rsidRPr="00785FF8" w:rsidRDefault="00071227" w:rsidP="00071227">
      <w:pPr>
        <w:pBdr>
          <w:top w:val="nil"/>
          <w:left w:val="nil"/>
          <w:bottom w:val="nil"/>
          <w:right w:val="nil"/>
          <w:between w:val="nil"/>
        </w:pBdr>
        <w:jc w:val="both"/>
        <w:rPr>
          <w:rFonts w:ascii="Bookman Old Style" w:hAnsi="Bookman Old Style"/>
          <w:sz w:val="22"/>
          <w:szCs w:val="22"/>
          <w:lang w:val="es-ES_tradnl"/>
        </w:rPr>
      </w:pPr>
      <w:r w:rsidRPr="00785FF8">
        <w:rPr>
          <w:rFonts w:ascii="Bookman Old Style" w:hAnsi="Bookman Old Style"/>
          <w:sz w:val="22"/>
          <w:szCs w:val="22"/>
          <w:lang w:val="es-ES_tradnl"/>
        </w:rPr>
        <w:t>No obstante, omit</w:t>
      </w:r>
      <w:r w:rsidR="004A6822">
        <w:rPr>
          <w:rFonts w:ascii="Bookman Old Style" w:hAnsi="Bookman Old Style"/>
          <w:sz w:val="22"/>
          <w:szCs w:val="22"/>
          <w:lang w:val="es-ES_tradnl"/>
        </w:rPr>
        <w:t>ieron</w:t>
      </w:r>
      <w:r w:rsidRPr="00785FF8">
        <w:rPr>
          <w:rFonts w:ascii="Bookman Old Style" w:hAnsi="Bookman Old Style"/>
          <w:sz w:val="22"/>
          <w:szCs w:val="22"/>
          <w:lang w:val="es-ES_tradnl"/>
        </w:rPr>
        <w:t xml:space="preserve"> reconocer </w:t>
      </w:r>
      <w:proofErr w:type="gramStart"/>
      <w:r w:rsidRPr="00785FF8">
        <w:rPr>
          <w:rFonts w:ascii="Bookman Old Style" w:hAnsi="Bookman Old Style"/>
          <w:sz w:val="22"/>
          <w:szCs w:val="22"/>
          <w:lang w:val="es-ES_tradnl"/>
        </w:rPr>
        <w:t>que</w:t>
      </w:r>
      <w:proofErr w:type="gramEnd"/>
      <w:r w:rsidRPr="00785FF8">
        <w:rPr>
          <w:rFonts w:ascii="Bookman Old Style" w:hAnsi="Bookman Old Style"/>
          <w:sz w:val="22"/>
          <w:szCs w:val="22"/>
          <w:lang w:val="es-ES_tradnl"/>
        </w:rPr>
        <w:t xml:space="preserve"> en esas sentencias, y especialmente en la C-666 de 2010</w:t>
      </w:r>
      <w:r w:rsidR="004A6822">
        <w:rPr>
          <w:rFonts w:ascii="Bookman Old Style" w:hAnsi="Bookman Old Style"/>
          <w:sz w:val="22"/>
          <w:szCs w:val="22"/>
          <w:lang w:val="es-ES_tradnl"/>
        </w:rPr>
        <w:t>,</w:t>
      </w:r>
      <w:r w:rsidRPr="00785FF8">
        <w:rPr>
          <w:rFonts w:ascii="Bookman Old Style" w:hAnsi="Bookman Old Style"/>
          <w:sz w:val="22"/>
          <w:szCs w:val="22"/>
          <w:lang w:val="es-ES_tradnl"/>
        </w:rPr>
        <w:t xml:space="preserve"> la Corte Constitucional expresamente manifestó lo siguiente:</w:t>
      </w:r>
    </w:p>
    <w:p w14:paraId="7B9C3D9A" w14:textId="77777777" w:rsidR="00071227" w:rsidRPr="00785FF8" w:rsidRDefault="00071227" w:rsidP="00071227">
      <w:pPr>
        <w:ind w:left="360"/>
        <w:jc w:val="both"/>
        <w:rPr>
          <w:rFonts w:ascii="Bookman Old Style" w:hAnsi="Bookman Old Style"/>
          <w:sz w:val="22"/>
          <w:szCs w:val="22"/>
          <w:lang w:val="es-ES_tradnl"/>
        </w:rPr>
      </w:pPr>
    </w:p>
    <w:p w14:paraId="33F43AFA" w14:textId="77777777" w:rsidR="00071227" w:rsidRPr="00785FF8" w:rsidRDefault="00071227" w:rsidP="00071227">
      <w:pPr>
        <w:ind w:left="454"/>
        <w:jc w:val="both"/>
        <w:rPr>
          <w:rFonts w:ascii="Bookman Old Style" w:hAnsi="Bookman Old Style"/>
          <w:i/>
          <w:iCs/>
          <w:sz w:val="22"/>
          <w:szCs w:val="22"/>
        </w:rPr>
      </w:pPr>
      <w:r w:rsidRPr="00785FF8">
        <w:rPr>
          <w:rFonts w:ascii="Bookman Old Style" w:hAnsi="Bookman Old Style"/>
          <w:i/>
          <w:iCs/>
          <w:sz w:val="22"/>
          <w:szCs w:val="22"/>
        </w:rPr>
        <w:t>“Debe recordarse, sin embargo, que las manifestaciones culturales no son una expresión directa de la Constitución, sino fruto de la interacción de los distintos actores sociales determinados por un tiempo y un espacio específicos. De manera que no puede entenderse que en sí mismas consideradas, sean concreción de postulados constitucionales, ni que, por consiguiente, tengan blindaje alguno que las haga inmunes a la regulación por parte del ordenamiento jurídico cuando quiera que se estime necesario limitarlas o, incluso suprimirlas, por ser contrarias a los valores que busque promocionar la sociedad, decisión que se encuentra dentro del ámbito competencial del órgano legislativo o de las autoridades municipales o distritales</w:t>
      </w:r>
    </w:p>
    <w:p w14:paraId="3B875061" w14:textId="77777777" w:rsidR="00071227" w:rsidRPr="00785FF8" w:rsidRDefault="00071227" w:rsidP="00071227">
      <w:pPr>
        <w:ind w:left="454"/>
        <w:jc w:val="both"/>
        <w:rPr>
          <w:rFonts w:ascii="Bookman Old Style" w:hAnsi="Bookman Old Style"/>
          <w:i/>
          <w:iCs/>
          <w:sz w:val="22"/>
          <w:szCs w:val="22"/>
        </w:rPr>
      </w:pPr>
    </w:p>
    <w:p w14:paraId="51235E9F" w14:textId="77777777" w:rsidR="00071227" w:rsidRDefault="00071227" w:rsidP="00071227">
      <w:pPr>
        <w:ind w:left="454"/>
        <w:jc w:val="both"/>
        <w:rPr>
          <w:rFonts w:ascii="Bookman Old Style" w:hAnsi="Bookman Old Style"/>
          <w:i/>
          <w:iCs/>
          <w:sz w:val="22"/>
          <w:szCs w:val="22"/>
        </w:rPr>
      </w:pPr>
      <w:r w:rsidRPr="00785FF8">
        <w:rPr>
          <w:rFonts w:ascii="Bookman Old Style" w:hAnsi="Bookman Old Style"/>
          <w:i/>
          <w:iCs/>
          <w:sz w:val="22"/>
          <w:szCs w:val="22"/>
        </w:rPr>
        <w:t>Incluso 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 pues como lo ha defendido esta Corporación en numerosas oportunidades, la Constitución de 1991 no es estática y la permisión contenida en un cuerpo normativo preconstitucional no puede limitar la libertad de configuración del órgano representativo de acuerdo a los cambios que se produzcan en el seno de la sociedad.”</w:t>
      </w:r>
    </w:p>
    <w:p w14:paraId="632BB383" w14:textId="77777777" w:rsidR="00071227" w:rsidRDefault="00071227" w:rsidP="00071227">
      <w:pPr>
        <w:jc w:val="both"/>
        <w:rPr>
          <w:rFonts w:ascii="Bookman Old Style" w:hAnsi="Bookman Old Style"/>
          <w:i/>
          <w:iCs/>
          <w:sz w:val="22"/>
          <w:szCs w:val="22"/>
        </w:rPr>
      </w:pPr>
    </w:p>
    <w:p w14:paraId="7CB9C42A" w14:textId="72CCCD72" w:rsidR="00071227" w:rsidRDefault="00071227" w:rsidP="00071227">
      <w:pPr>
        <w:jc w:val="both"/>
        <w:rPr>
          <w:rFonts w:ascii="Bookman Old Style" w:hAnsi="Bookman Old Style"/>
          <w:sz w:val="22"/>
          <w:szCs w:val="22"/>
        </w:rPr>
      </w:pPr>
      <w:r w:rsidRPr="00071227">
        <w:rPr>
          <w:rFonts w:ascii="Bookman Old Style" w:hAnsi="Bookman Old Style"/>
          <w:sz w:val="22"/>
          <w:szCs w:val="22"/>
        </w:rPr>
        <w:t>Se d</w:t>
      </w:r>
      <w:r w:rsidR="004A6822">
        <w:rPr>
          <w:rFonts w:ascii="Bookman Old Style" w:hAnsi="Bookman Old Style"/>
          <w:sz w:val="22"/>
          <w:szCs w:val="22"/>
        </w:rPr>
        <w:t>ijo también</w:t>
      </w:r>
      <w:r w:rsidRPr="00071227">
        <w:rPr>
          <w:rFonts w:ascii="Bookman Old Style" w:hAnsi="Bookman Old Style"/>
          <w:sz w:val="22"/>
          <w:szCs w:val="22"/>
        </w:rPr>
        <w:t xml:space="preserve"> que el proyecto pretend</w:t>
      </w:r>
      <w:r w:rsidR="004A6822">
        <w:rPr>
          <w:rFonts w:ascii="Bookman Old Style" w:hAnsi="Bookman Old Style"/>
          <w:sz w:val="22"/>
          <w:szCs w:val="22"/>
        </w:rPr>
        <w:t>ía</w:t>
      </w:r>
      <w:r w:rsidRPr="00071227">
        <w:rPr>
          <w:rFonts w:ascii="Bookman Old Style" w:hAnsi="Bookman Old Style"/>
          <w:sz w:val="22"/>
          <w:szCs w:val="22"/>
        </w:rPr>
        <w:t xml:space="preserve"> negar la existencia de expresiones culturales minoritarias. Sobre este punto, es importante resaltar que la Sentencia 666 de 2010 no reconoce estas actividades como propias de una minoría y, en cambio, reconoce que van en contravía de los mandatos constitucionales de protección a los animales. </w:t>
      </w:r>
    </w:p>
    <w:p w14:paraId="0F18AAD9" w14:textId="77777777" w:rsidR="00071227" w:rsidRDefault="00071227" w:rsidP="00071227">
      <w:pPr>
        <w:jc w:val="both"/>
        <w:rPr>
          <w:rFonts w:ascii="Bookman Old Style" w:hAnsi="Bookman Old Style"/>
          <w:sz w:val="22"/>
          <w:szCs w:val="22"/>
        </w:rPr>
      </w:pPr>
    </w:p>
    <w:p w14:paraId="7DA78A19" w14:textId="405F0386" w:rsidR="00071227" w:rsidRPr="00071227" w:rsidRDefault="00071227" w:rsidP="00071227">
      <w:pPr>
        <w:jc w:val="both"/>
        <w:rPr>
          <w:rFonts w:ascii="Bookman Old Style" w:hAnsi="Bookman Old Style"/>
          <w:sz w:val="22"/>
          <w:szCs w:val="22"/>
        </w:rPr>
      </w:pPr>
      <w:r w:rsidRPr="00071227">
        <w:rPr>
          <w:rFonts w:ascii="Bookman Old Style" w:hAnsi="Bookman Old Style"/>
          <w:sz w:val="22"/>
          <w:szCs w:val="22"/>
        </w:rPr>
        <w:t xml:space="preserve">Ahora bien, los aficionados a estas actividades no pueden ser considerados minorías en tanto no puede afirmarse que tengan diferencias de identidad, que carezcan de posiciones dominantes y que sean grupos vulnerables. Por el contrario, durante décadas han hecho uso de espacios y recursos públicos para promover sus actividades que no se han visto mermadas por procesos de discriminación, sino por procesos sociales relacionados con el respeto a la vida de los animales. </w:t>
      </w:r>
    </w:p>
    <w:p w14:paraId="1F69D141" w14:textId="77777777" w:rsidR="00071227" w:rsidRDefault="00071227" w:rsidP="00071227">
      <w:pPr>
        <w:pStyle w:val="Prrafodelista"/>
        <w:jc w:val="both"/>
        <w:rPr>
          <w:rFonts w:ascii="Bookman Old Style" w:hAnsi="Bookman Old Style"/>
          <w:sz w:val="22"/>
          <w:szCs w:val="22"/>
        </w:rPr>
      </w:pPr>
    </w:p>
    <w:p w14:paraId="0EAFE955" w14:textId="4EB61505" w:rsidR="00071227" w:rsidRDefault="00071227" w:rsidP="00071227">
      <w:pPr>
        <w:jc w:val="both"/>
        <w:rPr>
          <w:rFonts w:ascii="Bookman Old Style" w:hAnsi="Bookman Old Style"/>
          <w:sz w:val="22"/>
          <w:szCs w:val="22"/>
        </w:rPr>
      </w:pPr>
      <w:r w:rsidRPr="00071227">
        <w:rPr>
          <w:rFonts w:ascii="Bookman Old Style" w:eastAsia="Bookman Old Style" w:hAnsi="Bookman Old Style" w:cs="Bookman Old Style"/>
          <w:color w:val="000000"/>
          <w:sz w:val="22"/>
          <w:szCs w:val="22"/>
          <w:lang w:val="es-ES"/>
        </w:rPr>
        <w:t>Señala</w:t>
      </w:r>
      <w:r>
        <w:rPr>
          <w:rFonts w:ascii="Bookman Old Style" w:eastAsia="Bookman Old Style" w:hAnsi="Bookman Old Style" w:cs="Bookman Old Style"/>
          <w:color w:val="000000"/>
          <w:sz w:val="22"/>
          <w:szCs w:val="22"/>
          <w:lang w:val="es-ES"/>
        </w:rPr>
        <w:t>ron</w:t>
      </w:r>
      <w:r w:rsidRPr="00071227">
        <w:rPr>
          <w:rFonts w:ascii="Bookman Old Style" w:eastAsia="Bookman Old Style" w:hAnsi="Bookman Old Style" w:cs="Bookman Old Style"/>
          <w:color w:val="000000"/>
          <w:sz w:val="22"/>
          <w:szCs w:val="22"/>
          <w:lang w:val="es-ES"/>
        </w:rPr>
        <w:t xml:space="preserve"> también que </w:t>
      </w:r>
      <w:r w:rsidRPr="00071227">
        <w:rPr>
          <w:rFonts w:ascii="Bookman Old Style" w:hAnsi="Bookman Old Style"/>
          <w:sz w:val="22"/>
          <w:szCs w:val="22"/>
        </w:rPr>
        <w:t>no existen los derechos absolutos en favor de los animales</w:t>
      </w:r>
      <w:r>
        <w:rPr>
          <w:rFonts w:ascii="Bookman Old Style" w:hAnsi="Bookman Old Style"/>
          <w:sz w:val="22"/>
          <w:szCs w:val="22"/>
        </w:rPr>
        <w:t xml:space="preserve"> y si bien les asiste razón en este punto, </w:t>
      </w:r>
      <w:r w:rsidRPr="00071227">
        <w:rPr>
          <w:rFonts w:ascii="Bookman Old Style" w:hAnsi="Bookman Old Style"/>
          <w:sz w:val="22"/>
          <w:szCs w:val="22"/>
        </w:rPr>
        <w:t>omit</w:t>
      </w:r>
      <w:r>
        <w:rPr>
          <w:rFonts w:ascii="Bookman Old Style" w:hAnsi="Bookman Old Style"/>
          <w:sz w:val="22"/>
          <w:szCs w:val="22"/>
        </w:rPr>
        <w:t>iero</w:t>
      </w:r>
      <w:r w:rsidRPr="00071227">
        <w:rPr>
          <w:rFonts w:ascii="Bookman Old Style" w:hAnsi="Bookman Old Style"/>
          <w:sz w:val="22"/>
          <w:szCs w:val="22"/>
        </w:rPr>
        <w:t xml:space="preserve">n señalar que la Corte Constitucional </w:t>
      </w:r>
      <w:r>
        <w:rPr>
          <w:rFonts w:ascii="Bookman Old Style" w:hAnsi="Bookman Old Style"/>
          <w:sz w:val="22"/>
          <w:szCs w:val="22"/>
        </w:rPr>
        <w:t>determinó que</w:t>
      </w:r>
      <w:r w:rsidRPr="00071227">
        <w:rPr>
          <w:rFonts w:ascii="Bookman Old Style" w:hAnsi="Bookman Old Style"/>
          <w:sz w:val="22"/>
          <w:szCs w:val="22"/>
        </w:rPr>
        <w:t xml:space="preserve"> estas prácticas </w:t>
      </w:r>
      <w:r>
        <w:rPr>
          <w:rFonts w:ascii="Bookman Old Style" w:hAnsi="Bookman Old Style"/>
          <w:sz w:val="22"/>
          <w:szCs w:val="22"/>
        </w:rPr>
        <w:t>tampoco</w:t>
      </w:r>
      <w:r w:rsidRPr="00071227">
        <w:rPr>
          <w:rFonts w:ascii="Bookman Old Style" w:hAnsi="Bookman Old Style"/>
          <w:sz w:val="22"/>
          <w:szCs w:val="22"/>
        </w:rPr>
        <w:t xml:space="preserve"> tienen una protección ni blindaje absoluto, ya que son determinadas según las </w:t>
      </w:r>
      <w:r>
        <w:rPr>
          <w:rFonts w:ascii="Bookman Old Style" w:hAnsi="Bookman Old Style"/>
          <w:sz w:val="22"/>
          <w:szCs w:val="22"/>
        </w:rPr>
        <w:t>costumbres</w:t>
      </w:r>
      <w:r w:rsidRPr="00071227">
        <w:rPr>
          <w:rFonts w:ascii="Bookman Old Style" w:hAnsi="Bookman Old Style"/>
          <w:sz w:val="22"/>
          <w:szCs w:val="22"/>
        </w:rPr>
        <w:t xml:space="preserve"> sociales en un determinado tiempo y lugar. Para el caso de las actividades taurinas es claro que su público se ha ido reduciendo en un claro despertar frente a la necesidad de proteger la vida y, por eso, es menester ajustar la legislación, conforme la misma Corte consideró que era posible.</w:t>
      </w:r>
    </w:p>
    <w:p w14:paraId="3A514419" w14:textId="5AAE4068" w:rsidR="004A6822" w:rsidRDefault="004A6822" w:rsidP="00071227">
      <w:pPr>
        <w:jc w:val="both"/>
        <w:rPr>
          <w:rFonts w:ascii="Bookman Old Style" w:hAnsi="Bookman Old Style"/>
          <w:sz w:val="22"/>
          <w:szCs w:val="22"/>
        </w:rPr>
      </w:pPr>
    </w:p>
    <w:p w14:paraId="128F3F24" w14:textId="5FD76557" w:rsidR="004A6822" w:rsidRPr="004A6822" w:rsidRDefault="004A6822" w:rsidP="004A6822">
      <w:pPr>
        <w:jc w:val="both"/>
        <w:rPr>
          <w:rFonts w:ascii="Bookman Old Style" w:hAnsi="Bookman Old Style"/>
          <w:sz w:val="22"/>
          <w:szCs w:val="22"/>
        </w:rPr>
      </w:pPr>
      <w:r w:rsidRPr="004A6822">
        <w:rPr>
          <w:rFonts w:ascii="Bookman Old Style" w:hAnsi="Bookman Old Style"/>
          <w:sz w:val="22"/>
          <w:szCs w:val="22"/>
        </w:rPr>
        <w:t xml:space="preserve">Finalmente, </w:t>
      </w:r>
      <w:r>
        <w:rPr>
          <w:rFonts w:ascii="Bookman Old Style" w:hAnsi="Bookman Old Style"/>
          <w:sz w:val="22"/>
          <w:szCs w:val="22"/>
        </w:rPr>
        <w:t>aseguraron</w:t>
      </w:r>
      <w:r w:rsidRPr="004A6822">
        <w:rPr>
          <w:rFonts w:ascii="Bookman Old Style" w:hAnsi="Bookman Old Style"/>
          <w:sz w:val="22"/>
          <w:szCs w:val="22"/>
        </w:rPr>
        <w:t xml:space="preserve"> que </w:t>
      </w:r>
      <w:r>
        <w:rPr>
          <w:rFonts w:ascii="Bookman Old Style" w:hAnsi="Bookman Old Style"/>
          <w:sz w:val="22"/>
          <w:szCs w:val="22"/>
        </w:rPr>
        <w:t xml:space="preserve">existía </w:t>
      </w:r>
      <w:r w:rsidRPr="004A6822">
        <w:rPr>
          <w:rFonts w:ascii="Bookman Old Style" w:hAnsi="Bookman Old Style"/>
          <w:sz w:val="22"/>
          <w:szCs w:val="22"/>
        </w:rPr>
        <w:t>cosa juzgada frente a la constitucionalidad de las excepciones del artículo 7 de la ley 84 de 1989, pero desconoc</w:t>
      </w:r>
      <w:r>
        <w:rPr>
          <w:rFonts w:ascii="Bookman Old Style" w:hAnsi="Bookman Old Style"/>
          <w:sz w:val="22"/>
          <w:szCs w:val="22"/>
        </w:rPr>
        <w:t>ieron</w:t>
      </w:r>
      <w:r w:rsidRPr="004A6822">
        <w:rPr>
          <w:rFonts w:ascii="Bookman Old Style" w:hAnsi="Bookman Old Style"/>
          <w:sz w:val="22"/>
          <w:szCs w:val="22"/>
        </w:rPr>
        <w:t xml:space="preserve"> que esa cosa juzgada hace referencia a que </w:t>
      </w:r>
      <w:r w:rsidRPr="004A6822">
        <w:rPr>
          <w:rFonts w:ascii="Bookman Old Style" w:hAnsi="Bookman Old Style"/>
          <w:b/>
          <w:bCs/>
          <w:sz w:val="22"/>
          <w:szCs w:val="22"/>
        </w:rPr>
        <w:t xml:space="preserve">es el legislador y no la Corte Constitucional vía sentencias el que puede prohibir definitivamente estar prácticas. </w:t>
      </w:r>
      <w:r w:rsidRPr="004A6822">
        <w:rPr>
          <w:rFonts w:ascii="Bookman Old Style" w:hAnsi="Bookman Old Style"/>
          <w:sz w:val="22"/>
          <w:szCs w:val="22"/>
        </w:rPr>
        <w:t>La Corte no ha dicho que no puedan ser prohibidas, solo que no puede hacerse por vía de sentencia</w:t>
      </w:r>
      <w:r>
        <w:rPr>
          <w:rFonts w:ascii="Bookman Old Style" w:hAnsi="Bookman Old Style"/>
          <w:sz w:val="22"/>
          <w:szCs w:val="22"/>
        </w:rPr>
        <w:t>s judiciales.</w:t>
      </w:r>
    </w:p>
    <w:p w14:paraId="3FBCFA59" w14:textId="0D972AF0" w:rsidR="00071227" w:rsidRPr="00071227" w:rsidRDefault="00071227" w:rsidP="00EA2C95">
      <w:pPr>
        <w:pBdr>
          <w:top w:val="nil"/>
          <w:left w:val="nil"/>
          <w:bottom w:val="nil"/>
          <w:right w:val="nil"/>
          <w:between w:val="nil"/>
        </w:pBdr>
        <w:jc w:val="both"/>
        <w:rPr>
          <w:rFonts w:ascii="Bookman Old Style" w:eastAsia="Bookman Old Style" w:hAnsi="Bookman Old Style" w:cs="Bookman Old Style"/>
          <w:color w:val="000000"/>
          <w:sz w:val="22"/>
          <w:szCs w:val="22"/>
          <w:lang w:val="es-ES"/>
        </w:rPr>
      </w:pPr>
    </w:p>
    <w:p w14:paraId="04826967" w14:textId="7D18FBBE" w:rsidR="00EA2C95" w:rsidRPr="00EA2C95" w:rsidRDefault="00EA2C95" w:rsidP="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1E98B44D" w14:textId="77777777" w:rsidR="003213C1" w:rsidRPr="003213C1" w:rsidRDefault="003213C1">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ANTECEDENTES DEL PROYECTO.</w:t>
      </w:r>
    </w:p>
    <w:p w14:paraId="0DDDA094" w14:textId="6EF2EEB2" w:rsidR="003213C1" w:rsidRDefault="003213C1"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164CDB4" w14:textId="2BE0F265" w:rsidR="003213C1" w:rsidRDefault="003213C1"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01 de agosto de 2018 fue radicado por los </w:t>
      </w:r>
      <w:r w:rsidRPr="003213C1">
        <w:rPr>
          <w:rFonts w:ascii="Bookman Old Style" w:eastAsia="Bookman Old Style" w:hAnsi="Bookman Old Style" w:cs="Bookman Old Style"/>
          <w:color w:val="000000"/>
          <w:sz w:val="22"/>
          <w:szCs w:val="22"/>
        </w:rPr>
        <w:t>H.R.</w:t>
      </w:r>
      <w:r>
        <w:rPr>
          <w:rFonts w:ascii="Bookman Old Style" w:eastAsia="Bookman Old Style" w:hAnsi="Bookman Old Style" w:cs="Bookman Old Style"/>
          <w:color w:val="000000"/>
          <w:sz w:val="22"/>
          <w:szCs w:val="22"/>
        </w:rPr>
        <w:t xml:space="preserve"> Juan Carlos Lozada Vargas</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Luvi</w:t>
      </w:r>
      <w:proofErr w:type="spellEnd"/>
      <w:r>
        <w:rPr>
          <w:rFonts w:ascii="Bookman Old Style" w:eastAsia="Bookman Old Style" w:hAnsi="Bookman Old Style" w:cs="Bookman Old Style"/>
          <w:color w:val="000000"/>
          <w:sz w:val="22"/>
          <w:szCs w:val="22"/>
        </w:rPr>
        <w:t xml:space="preserve"> Katherine Miranda Peña</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Hernando José </w:t>
      </w:r>
      <w:proofErr w:type="spellStart"/>
      <w:r>
        <w:rPr>
          <w:rFonts w:ascii="Bookman Old Style" w:eastAsia="Bookman Old Style" w:hAnsi="Bookman Old Style" w:cs="Bookman Old Style"/>
          <w:color w:val="000000"/>
          <w:sz w:val="22"/>
          <w:szCs w:val="22"/>
        </w:rPr>
        <w:t>Padaui</w:t>
      </w:r>
      <w:proofErr w:type="spellEnd"/>
      <w:r>
        <w:rPr>
          <w:rFonts w:ascii="Bookman Old Style" w:eastAsia="Bookman Old Style" w:hAnsi="Bookman Old Style" w:cs="Bookman Old Style"/>
          <w:color w:val="000000"/>
          <w:sz w:val="22"/>
          <w:szCs w:val="22"/>
        </w:rPr>
        <w:t xml:space="preserve"> Álvarez</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3213C1">
        <w:rPr>
          <w:rFonts w:ascii="Bookman Old Style" w:eastAsia="Bookman Old Style" w:hAnsi="Bookman Old Style" w:cs="Bookman Old Style"/>
          <w:color w:val="000000"/>
          <w:sz w:val="22"/>
          <w:szCs w:val="22"/>
        </w:rPr>
        <w:t>He</w:t>
      </w:r>
      <w:r>
        <w:rPr>
          <w:rFonts w:ascii="Bookman Old Style" w:eastAsia="Bookman Old Style" w:hAnsi="Bookman Old Style" w:cs="Bookman Old Style"/>
          <w:color w:val="000000"/>
          <w:sz w:val="22"/>
          <w:szCs w:val="22"/>
        </w:rPr>
        <w:t xml:space="preserve">rnán Gustavo </w:t>
      </w:r>
      <w:proofErr w:type="spellStart"/>
      <w:r>
        <w:rPr>
          <w:rFonts w:ascii="Bookman Old Style" w:eastAsia="Bookman Old Style" w:hAnsi="Bookman Old Style" w:cs="Bookman Old Style"/>
          <w:color w:val="000000"/>
          <w:sz w:val="22"/>
          <w:szCs w:val="22"/>
        </w:rPr>
        <w:t>Estupiñan</w:t>
      </w:r>
      <w:proofErr w:type="spellEnd"/>
      <w:r>
        <w:rPr>
          <w:rFonts w:ascii="Bookman Old Style" w:eastAsia="Bookman Old Style" w:hAnsi="Bookman Old Style" w:cs="Bookman Old Style"/>
          <w:color w:val="000000"/>
          <w:sz w:val="22"/>
          <w:szCs w:val="22"/>
        </w:rPr>
        <w:t xml:space="preserve"> Calvache</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Alejandro Alberto Vega Pérez</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Julian</w:t>
      </w:r>
      <w:proofErr w:type="spellEnd"/>
      <w:r>
        <w:rPr>
          <w:rFonts w:ascii="Bookman Old Style" w:eastAsia="Bookman Old Style" w:hAnsi="Bookman Old Style" w:cs="Bookman Old Style"/>
          <w:color w:val="000000"/>
          <w:sz w:val="22"/>
          <w:szCs w:val="22"/>
        </w:rPr>
        <w:t xml:space="preserve"> Peinado Ramírez</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Nilton Córdoba </w:t>
      </w:r>
      <w:proofErr w:type="spellStart"/>
      <w:r>
        <w:rPr>
          <w:rFonts w:ascii="Bookman Old Style" w:eastAsia="Bookman Old Style" w:hAnsi="Bookman Old Style" w:cs="Bookman Old Style"/>
          <w:color w:val="000000"/>
          <w:sz w:val="22"/>
          <w:szCs w:val="22"/>
        </w:rPr>
        <w:t>Manyoma</w:t>
      </w:r>
      <w:proofErr w:type="spellEnd"/>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3213C1">
        <w:rPr>
          <w:rFonts w:ascii="Bookman Old Style" w:eastAsia="Bookman Old Style" w:hAnsi="Bookman Old Style" w:cs="Bookman Old Style"/>
          <w:color w:val="000000"/>
          <w:sz w:val="22"/>
          <w:szCs w:val="22"/>
        </w:rPr>
        <w:t>Harr</w:t>
      </w:r>
      <w:r>
        <w:rPr>
          <w:rFonts w:ascii="Bookman Old Style" w:eastAsia="Bookman Old Style" w:hAnsi="Bookman Old Style" w:cs="Bookman Old Style"/>
          <w:color w:val="000000"/>
          <w:sz w:val="22"/>
          <w:szCs w:val="22"/>
        </w:rPr>
        <w:t>y Giovanny González García</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3213C1">
        <w:rPr>
          <w:rFonts w:ascii="Bookman Old Style" w:eastAsia="Bookman Old Style" w:hAnsi="Bookman Old Style" w:cs="Bookman Old Style"/>
          <w:color w:val="000000"/>
          <w:sz w:val="22"/>
          <w:szCs w:val="22"/>
        </w:rPr>
        <w:t>Ni</w:t>
      </w:r>
      <w:r>
        <w:rPr>
          <w:rFonts w:ascii="Bookman Old Style" w:eastAsia="Bookman Old Style" w:hAnsi="Bookman Old Style" w:cs="Bookman Old Style"/>
          <w:color w:val="000000"/>
          <w:sz w:val="22"/>
          <w:szCs w:val="22"/>
        </w:rPr>
        <w:t xml:space="preserve">colás Albeiro Echeverry </w:t>
      </w:r>
      <w:proofErr w:type="spellStart"/>
      <w:r>
        <w:rPr>
          <w:rFonts w:ascii="Bookman Old Style" w:eastAsia="Bookman Old Style" w:hAnsi="Bookman Old Style" w:cs="Bookman Old Style"/>
          <w:color w:val="000000"/>
          <w:sz w:val="22"/>
          <w:szCs w:val="22"/>
        </w:rPr>
        <w:t>Alvarán</w:t>
      </w:r>
      <w:proofErr w:type="spellEnd"/>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Jorge Eliécer Tamayo Marulanda</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John Jairo Roldan Avendaño</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Carlos Germán Navas Talero</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José Daniel López Jiménez</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Inti Raúl Asprilla Reyes</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3213C1">
        <w:rPr>
          <w:rFonts w:ascii="Bookman Old Style" w:eastAsia="Bookman Old Style" w:hAnsi="Bookman Old Style" w:cs="Bookman Old Style"/>
          <w:color w:val="000000"/>
          <w:sz w:val="22"/>
          <w:szCs w:val="22"/>
        </w:rPr>
        <w:t>Germán Alcides Bl</w:t>
      </w:r>
      <w:r>
        <w:rPr>
          <w:rFonts w:ascii="Bookman Old Style" w:eastAsia="Bookman Old Style" w:hAnsi="Bookman Old Style" w:cs="Bookman Old Style"/>
          <w:color w:val="000000"/>
          <w:sz w:val="22"/>
          <w:szCs w:val="22"/>
        </w:rPr>
        <w:t>anco Álvarez</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Juan Carlos </w:t>
      </w:r>
      <w:proofErr w:type="spellStart"/>
      <w:r>
        <w:rPr>
          <w:rFonts w:ascii="Bookman Old Style" w:eastAsia="Bookman Old Style" w:hAnsi="Bookman Old Style" w:cs="Bookman Old Style"/>
          <w:color w:val="000000"/>
          <w:sz w:val="22"/>
          <w:szCs w:val="22"/>
        </w:rPr>
        <w:t>Wills</w:t>
      </w:r>
      <w:proofErr w:type="spellEnd"/>
      <w:r>
        <w:rPr>
          <w:rFonts w:ascii="Bookman Old Style" w:eastAsia="Bookman Old Style" w:hAnsi="Bookman Old Style" w:cs="Bookman Old Style"/>
          <w:color w:val="000000"/>
          <w:sz w:val="22"/>
          <w:szCs w:val="22"/>
        </w:rPr>
        <w:t xml:space="preserve"> Ospina</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Flora Perdomo Andrade</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Crisanto </w:t>
      </w:r>
      <w:proofErr w:type="spellStart"/>
      <w:r>
        <w:rPr>
          <w:rFonts w:ascii="Bookman Old Style" w:eastAsia="Bookman Old Style" w:hAnsi="Bookman Old Style" w:cs="Bookman Old Style"/>
          <w:color w:val="000000"/>
          <w:sz w:val="22"/>
          <w:szCs w:val="22"/>
        </w:rPr>
        <w:t>Pisso</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Mazabuel</w:t>
      </w:r>
      <w:proofErr w:type="spellEnd"/>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María José Pizarro Rodríguez</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3213C1">
        <w:rPr>
          <w:rFonts w:ascii="Bookman Old Style" w:eastAsia="Bookman Old Style" w:hAnsi="Bookman Old Style" w:cs="Bookman Old Style"/>
          <w:color w:val="000000"/>
          <w:sz w:val="22"/>
          <w:szCs w:val="22"/>
        </w:rPr>
        <w:t>Carlos Adolfo Ardila Espinosa</w:t>
      </w:r>
      <w:r w:rsidR="00346FED">
        <w:rPr>
          <w:rFonts w:ascii="Bookman Old Style" w:eastAsia="Bookman Old Style" w:hAnsi="Bookman Old Style" w:cs="Bookman Old Style"/>
          <w:color w:val="000000"/>
          <w:sz w:val="22"/>
          <w:szCs w:val="22"/>
        </w:rPr>
        <w:t>, y los H.S</w:t>
      </w:r>
      <w:r w:rsidR="00346FED" w:rsidRPr="00346FED">
        <w:rPr>
          <w:rFonts w:ascii="Bookman Old Style" w:eastAsia="Bookman Old Style" w:hAnsi="Bookman Old Style" w:cs="Bookman Old Style"/>
          <w:color w:val="000000"/>
          <w:sz w:val="22"/>
          <w:szCs w:val="22"/>
        </w:rPr>
        <w:t>.</w:t>
      </w:r>
      <w:r w:rsidR="00346FED">
        <w:rPr>
          <w:rFonts w:ascii="Bookman Old Style" w:eastAsia="Bookman Old Style" w:hAnsi="Bookman Old Style" w:cs="Bookman Old Style"/>
          <w:color w:val="000000"/>
          <w:sz w:val="22"/>
          <w:szCs w:val="22"/>
        </w:rPr>
        <w:t xml:space="preserve"> Nadya Georgette </w:t>
      </w:r>
      <w:proofErr w:type="spellStart"/>
      <w:r w:rsidR="00346FED">
        <w:rPr>
          <w:rFonts w:ascii="Bookman Old Style" w:eastAsia="Bookman Old Style" w:hAnsi="Bookman Old Style" w:cs="Bookman Old Style"/>
          <w:color w:val="000000"/>
          <w:sz w:val="22"/>
          <w:szCs w:val="22"/>
        </w:rPr>
        <w:t>Blel</w:t>
      </w:r>
      <w:proofErr w:type="spellEnd"/>
      <w:r w:rsidR="00346FED">
        <w:rPr>
          <w:rFonts w:ascii="Bookman Old Style" w:eastAsia="Bookman Old Style" w:hAnsi="Bookman Old Style" w:cs="Bookman Old Style"/>
          <w:color w:val="000000"/>
          <w:sz w:val="22"/>
          <w:szCs w:val="22"/>
        </w:rPr>
        <w:t xml:space="preserve"> </w:t>
      </w:r>
      <w:proofErr w:type="spellStart"/>
      <w:r w:rsidR="00346FED">
        <w:rPr>
          <w:rFonts w:ascii="Bookman Old Style" w:eastAsia="Bookman Old Style" w:hAnsi="Bookman Old Style" w:cs="Bookman Old Style"/>
          <w:color w:val="000000"/>
          <w:sz w:val="22"/>
          <w:szCs w:val="22"/>
        </w:rPr>
        <w:t>Scaf</w:t>
      </w:r>
      <w:proofErr w:type="spellEnd"/>
      <w:r w:rsidR="00346FED">
        <w:rPr>
          <w:rFonts w:ascii="Bookman Old Style" w:eastAsia="Bookman Old Style" w:hAnsi="Bookman Old Style" w:cs="Bookman Old Style"/>
          <w:color w:val="000000"/>
          <w:sz w:val="22"/>
          <w:szCs w:val="22"/>
        </w:rPr>
        <w:t xml:space="preserve"> y</w:t>
      </w:r>
      <w:r w:rsidR="00346FED" w:rsidRPr="00346FED">
        <w:rPr>
          <w:rFonts w:ascii="Bookman Old Style" w:eastAsia="Bookman Old Style" w:hAnsi="Bookman Old Style" w:cs="Bookman Old Style"/>
          <w:color w:val="000000"/>
          <w:sz w:val="22"/>
          <w:szCs w:val="22"/>
        </w:rPr>
        <w:t xml:space="preserve"> H.S.</w:t>
      </w:r>
      <w:r w:rsidR="00346FED">
        <w:rPr>
          <w:rFonts w:ascii="Bookman Old Style" w:eastAsia="Bookman Old Style" w:hAnsi="Bookman Old Style" w:cs="Bookman Old Style"/>
          <w:color w:val="000000"/>
          <w:sz w:val="22"/>
          <w:szCs w:val="22"/>
        </w:rPr>
        <w:t xml:space="preserve"> </w:t>
      </w:r>
      <w:r w:rsidR="00346FED" w:rsidRPr="00346FED">
        <w:rPr>
          <w:rFonts w:ascii="Bookman Old Style" w:eastAsia="Bookman Old Style" w:hAnsi="Bookman Old Style" w:cs="Bookman Old Style"/>
          <w:color w:val="000000"/>
          <w:sz w:val="22"/>
          <w:szCs w:val="22"/>
        </w:rPr>
        <w:t>Richard Alfonso Aguilar Villa</w:t>
      </w:r>
      <w:r w:rsidR="00346FED">
        <w:rPr>
          <w:rFonts w:ascii="Bookman Old Style" w:eastAsia="Bookman Old Style" w:hAnsi="Bookman Old Style" w:cs="Bookman Old Style"/>
          <w:color w:val="000000"/>
          <w:sz w:val="22"/>
          <w:szCs w:val="22"/>
        </w:rPr>
        <w:t xml:space="preserve"> el Proyecto de Ley No. 064 de 2018 Cámara, </w:t>
      </w:r>
      <w:r w:rsidR="00346FED" w:rsidRPr="00346FED">
        <w:rPr>
          <w:rFonts w:ascii="Bookman Old Style" w:eastAsia="Bookman Old Style" w:hAnsi="Bookman Old Style" w:cs="Bookman Old Style"/>
          <w:i/>
          <w:color w:val="000000"/>
          <w:sz w:val="22"/>
          <w:szCs w:val="22"/>
        </w:rPr>
        <w:t>“Por el cual se eliminan las prácticas taurinas en el territorio nacional y se dictan otras disposiciones”.</w:t>
      </w:r>
    </w:p>
    <w:p w14:paraId="6FBFC9E8" w14:textId="2A473521" w:rsidR="00346FED" w:rsidRDefault="00346FED"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8CE0D6E" w14:textId="6118E25E" w:rsidR="00346FED" w:rsidRDefault="00346FED"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proyecto fue aprobado en su primer debate en la Comisión Séptima Constitucional Permanente de la Cámara de Representantes el día 14 de mayo de 2019, </w:t>
      </w:r>
      <w:r w:rsidRPr="00346FED">
        <w:rPr>
          <w:rFonts w:ascii="Bookman Old Style" w:eastAsia="Bookman Old Style" w:hAnsi="Bookman Old Style" w:cs="Bookman Old Style"/>
          <w:color w:val="000000"/>
          <w:sz w:val="22"/>
          <w:szCs w:val="22"/>
        </w:rPr>
        <w:t xml:space="preserve">en donde, si bien se radicó Ponencia Positiva para Segundo Debate, el Proyecto debió ser archivado en razón a que se agotaron los tiempos legislativos </w:t>
      </w:r>
      <w:r w:rsidRPr="00346FED">
        <w:rPr>
          <w:rFonts w:ascii="Bookman Old Style" w:eastAsia="Bookman Old Style" w:hAnsi="Bookman Old Style" w:cs="Bookman Old Style"/>
          <w:color w:val="000000"/>
          <w:sz w:val="22"/>
          <w:szCs w:val="22"/>
        </w:rPr>
        <w:lastRenderedPageBreak/>
        <w:t>necesarios para continuar su trámite, de acuerdo a lo dispuesto en los artículos 224 y 225 de la Ley 5ta de 1992.</w:t>
      </w:r>
    </w:p>
    <w:p w14:paraId="064B309E" w14:textId="77777777" w:rsidR="003213C1" w:rsidRDefault="003213C1"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E21528F" w14:textId="77777777" w:rsidR="00346FED" w:rsidRDefault="003213C1" w:rsidP="003213C1">
      <w:pPr>
        <w:pBdr>
          <w:top w:val="nil"/>
          <w:left w:val="nil"/>
          <w:bottom w:val="nil"/>
          <w:right w:val="nil"/>
          <w:between w:val="nil"/>
        </w:pBdr>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 xml:space="preserve">El 11 de septiembre de 2020 fue radicado por los </w:t>
      </w:r>
      <w:r w:rsidRPr="003213C1">
        <w:rPr>
          <w:rFonts w:ascii="Bookman Old Style" w:eastAsia="Bookman Old Style" w:hAnsi="Bookman Old Style" w:cs="Bookman Old Style"/>
          <w:color w:val="000000"/>
          <w:sz w:val="22"/>
          <w:szCs w:val="22"/>
        </w:rPr>
        <w:t>H.R.</w:t>
      </w:r>
      <w:r>
        <w:rPr>
          <w:rFonts w:ascii="Bookman Old Style" w:eastAsia="Bookman Old Style" w:hAnsi="Bookman Old Style" w:cs="Bookman Old Style"/>
          <w:color w:val="000000"/>
          <w:sz w:val="22"/>
          <w:szCs w:val="22"/>
        </w:rPr>
        <w:t xml:space="preserve"> Juan Carlos Lozada Vargas</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Ángel María Gaitán Pulido</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José Daniel López Jiménez</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Fabián Díaz Plata</w:t>
      </w:r>
      <w:r w:rsidRPr="003213C1">
        <w:rPr>
          <w:rFonts w:ascii="Bookman Old Style" w:eastAsia="Bookman Old Style" w:hAnsi="Bookman Old Style" w:cs="Bookman Old Style"/>
          <w:color w:val="000000"/>
          <w:sz w:val="22"/>
          <w:szCs w:val="22"/>
        </w:rPr>
        <w:t>, H.R.</w:t>
      </w:r>
      <w:r>
        <w:rPr>
          <w:rFonts w:ascii="Bookman Old Style" w:eastAsia="Bookman Old Style" w:hAnsi="Bookman Old Style" w:cs="Bookman Old Style"/>
          <w:color w:val="000000"/>
          <w:sz w:val="22"/>
          <w:szCs w:val="22"/>
        </w:rPr>
        <w:t xml:space="preserve"> </w:t>
      </w:r>
      <w:r w:rsidRPr="003213C1">
        <w:rPr>
          <w:rFonts w:ascii="Bookman Old Style" w:eastAsia="Bookman Old Style" w:hAnsi="Bookman Old Style" w:cs="Bookman Old Style"/>
          <w:color w:val="000000"/>
          <w:sz w:val="22"/>
          <w:szCs w:val="22"/>
        </w:rPr>
        <w:t>Inti Raúl Asprilla Reyes</w:t>
      </w:r>
      <w:r>
        <w:rPr>
          <w:rFonts w:ascii="Bookman Old Style" w:eastAsia="Bookman Old Style" w:hAnsi="Bookman Old Style" w:cs="Bookman Old Style"/>
          <w:color w:val="000000"/>
          <w:sz w:val="22"/>
          <w:szCs w:val="22"/>
        </w:rPr>
        <w:t xml:space="preserve"> el Proyecto de Ley No. 410 </w:t>
      </w:r>
      <w:r w:rsidR="00346FED">
        <w:rPr>
          <w:rFonts w:ascii="Bookman Old Style" w:eastAsia="Bookman Old Style" w:hAnsi="Bookman Old Style" w:cs="Bookman Old Style"/>
          <w:color w:val="000000"/>
          <w:sz w:val="22"/>
          <w:szCs w:val="22"/>
        </w:rPr>
        <w:t xml:space="preserve">de 2020 Cámara </w:t>
      </w:r>
      <w:r w:rsidR="00346FED" w:rsidRPr="00346FED">
        <w:rPr>
          <w:rFonts w:ascii="Bookman Old Style" w:eastAsia="Bookman Old Style" w:hAnsi="Bookman Old Style" w:cs="Bookman Old Style"/>
          <w:i/>
          <w:color w:val="000000"/>
          <w:sz w:val="22"/>
          <w:szCs w:val="22"/>
        </w:rPr>
        <w:t>“Por el cual se eliminan las prácticas taurinas en el territorio nacional y se dict</w:t>
      </w:r>
      <w:r w:rsidR="00346FED">
        <w:rPr>
          <w:rFonts w:ascii="Bookman Old Style" w:eastAsia="Bookman Old Style" w:hAnsi="Bookman Old Style" w:cs="Bookman Old Style"/>
          <w:i/>
          <w:color w:val="000000"/>
          <w:sz w:val="22"/>
          <w:szCs w:val="22"/>
        </w:rPr>
        <w:t>an otras disposiciones</w:t>
      </w:r>
      <w:r w:rsidR="00346FED" w:rsidRPr="00346FED">
        <w:rPr>
          <w:rFonts w:ascii="Bookman Old Style" w:eastAsia="Bookman Old Style" w:hAnsi="Bookman Old Style" w:cs="Bookman Old Style"/>
          <w:i/>
          <w:color w:val="000000"/>
          <w:sz w:val="22"/>
          <w:szCs w:val="22"/>
        </w:rPr>
        <w:t>”</w:t>
      </w:r>
      <w:r w:rsidR="00346FED">
        <w:rPr>
          <w:rFonts w:ascii="Bookman Old Style" w:eastAsia="Bookman Old Style" w:hAnsi="Bookman Old Style" w:cs="Bookman Old Style"/>
          <w:i/>
          <w:color w:val="000000"/>
          <w:sz w:val="22"/>
          <w:szCs w:val="22"/>
        </w:rPr>
        <w:t>.</w:t>
      </w:r>
    </w:p>
    <w:p w14:paraId="11276679" w14:textId="77777777" w:rsidR="00346FED" w:rsidRDefault="00346FED" w:rsidP="003213C1">
      <w:pPr>
        <w:pBdr>
          <w:top w:val="nil"/>
          <w:left w:val="nil"/>
          <w:bottom w:val="nil"/>
          <w:right w:val="nil"/>
          <w:between w:val="nil"/>
        </w:pBdr>
        <w:jc w:val="both"/>
        <w:rPr>
          <w:rFonts w:ascii="Bookman Old Style" w:eastAsia="Bookman Old Style" w:hAnsi="Bookman Old Style" w:cs="Bookman Old Style"/>
          <w:i/>
          <w:color w:val="000000"/>
          <w:sz w:val="22"/>
          <w:szCs w:val="22"/>
        </w:rPr>
      </w:pPr>
    </w:p>
    <w:p w14:paraId="78BC2530" w14:textId="2C0EE43B" w:rsidR="003213C1" w:rsidRDefault="00346FED"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w:t>
      </w:r>
      <w:r w:rsidR="00B61382">
        <w:rPr>
          <w:rFonts w:ascii="Bookman Old Style" w:eastAsia="Bookman Old Style" w:hAnsi="Bookman Old Style" w:cs="Bookman Old Style"/>
          <w:color w:val="000000"/>
          <w:sz w:val="22"/>
          <w:szCs w:val="22"/>
        </w:rPr>
        <w:t>07 de diciembre de 2020</w:t>
      </w:r>
      <w:r>
        <w:rPr>
          <w:rFonts w:ascii="Bookman Old Style" w:eastAsia="Bookman Old Style" w:hAnsi="Bookman Old Style" w:cs="Bookman Old Style"/>
          <w:color w:val="000000"/>
          <w:sz w:val="22"/>
          <w:szCs w:val="22"/>
        </w:rPr>
        <w:t xml:space="preserve"> el proyecto fue puesto en consideración de la Comisión Primera de la Cámara de R</w:t>
      </w:r>
      <w:r w:rsidR="00B61382">
        <w:rPr>
          <w:rFonts w:ascii="Bookman Old Style" w:eastAsia="Bookman Old Style" w:hAnsi="Bookman Old Style" w:cs="Bookman Old Style"/>
          <w:color w:val="000000"/>
          <w:sz w:val="22"/>
          <w:szCs w:val="22"/>
        </w:rPr>
        <w:t>epresentantes, en donde fue</w:t>
      </w:r>
      <w:r>
        <w:rPr>
          <w:rFonts w:ascii="Bookman Old Style" w:eastAsia="Bookman Old Style" w:hAnsi="Bookman Old Style" w:cs="Bookman Old Style"/>
          <w:color w:val="000000"/>
          <w:sz w:val="22"/>
          <w:szCs w:val="22"/>
        </w:rPr>
        <w:t xml:space="preserve"> aprobado. El proyecto continuo su </w:t>
      </w:r>
      <w:r w:rsidR="00B61382">
        <w:rPr>
          <w:rFonts w:ascii="Bookman Old Style" w:eastAsia="Bookman Old Style" w:hAnsi="Bookman Old Style" w:cs="Bookman Old Style"/>
          <w:color w:val="000000"/>
          <w:sz w:val="22"/>
          <w:szCs w:val="22"/>
        </w:rPr>
        <w:t>trámite</w:t>
      </w:r>
      <w:r>
        <w:rPr>
          <w:rFonts w:ascii="Bookman Old Style" w:eastAsia="Bookman Old Style" w:hAnsi="Bookman Old Style" w:cs="Bookman Old Style"/>
          <w:color w:val="000000"/>
          <w:sz w:val="22"/>
          <w:szCs w:val="22"/>
        </w:rPr>
        <w:t xml:space="preserve"> y fue aprobado por la Plenaria de la Cámara de Representantes el </w:t>
      </w:r>
      <w:r w:rsidR="00B61382">
        <w:rPr>
          <w:rFonts w:ascii="Bookman Old Style" w:eastAsia="Bookman Old Style" w:hAnsi="Bookman Old Style" w:cs="Bookman Old Style"/>
          <w:color w:val="000000"/>
          <w:sz w:val="22"/>
          <w:szCs w:val="22"/>
        </w:rPr>
        <w:t>19</w:t>
      </w:r>
      <w:r>
        <w:rPr>
          <w:rFonts w:ascii="Bookman Old Style" w:eastAsia="Bookman Old Style" w:hAnsi="Bookman Old Style" w:cs="Bookman Old Style"/>
          <w:color w:val="000000"/>
          <w:sz w:val="22"/>
          <w:szCs w:val="22"/>
        </w:rPr>
        <w:t xml:space="preserve"> </w:t>
      </w:r>
      <w:r w:rsidR="00B61382">
        <w:rPr>
          <w:rFonts w:ascii="Bookman Old Style" w:eastAsia="Bookman Old Style" w:hAnsi="Bookman Old Style" w:cs="Bookman Old Style"/>
          <w:color w:val="000000"/>
          <w:sz w:val="22"/>
          <w:szCs w:val="22"/>
        </w:rPr>
        <w:t>de abril de 2022.</w:t>
      </w:r>
    </w:p>
    <w:p w14:paraId="3C997698" w14:textId="0922EEC2" w:rsidR="00B61382" w:rsidRDefault="00B61382"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C2E3450" w14:textId="594AFE47" w:rsidR="00B61382" w:rsidRPr="00346FED" w:rsidRDefault="00B61382"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proyecto continuó su trámite en el Senado de la República en donde se le asignó el número 359 de 2022 Senado. La Comisión Primera del Senado de la República realizó audiencia pública, sin embargo, el proyecto </w:t>
      </w:r>
      <w:r w:rsidRPr="00346FED">
        <w:rPr>
          <w:rFonts w:ascii="Bookman Old Style" w:eastAsia="Bookman Old Style" w:hAnsi="Bookman Old Style" w:cs="Bookman Old Style"/>
          <w:color w:val="000000"/>
          <w:sz w:val="22"/>
          <w:szCs w:val="22"/>
        </w:rPr>
        <w:t>debió ser archivado en razón a que se agotaron los tiempos legislativos necesarios para continuar su trámite, de acuerdo a lo dispuesto en los artículos 224 y 225 de la Ley 5ta de 1992.</w:t>
      </w:r>
    </w:p>
    <w:p w14:paraId="1AB86107" w14:textId="77777777" w:rsidR="003213C1" w:rsidRPr="003213C1" w:rsidRDefault="003213C1" w:rsidP="003213C1">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7816FE0" w14:textId="3AE2121C" w:rsidR="00756FAE" w:rsidRPr="00EA2C95" w:rsidRDefault="00EA2C95">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OBJETO</w:t>
      </w:r>
      <w:r w:rsidRPr="00EA2C95">
        <w:rPr>
          <w:rFonts w:ascii="Bookman Old Style" w:eastAsia="Bookman Old Style" w:hAnsi="Bookman Old Style" w:cs="Bookman Old Style"/>
          <w:color w:val="000000"/>
          <w:sz w:val="22"/>
          <w:szCs w:val="22"/>
        </w:rPr>
        <w:t>.</w:t>
      </w:r>
    </w:p>
    <w:p w14:paraId="0BAD97B4"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DA19821" w14:textId="7983B389" w:rsidR="00756FAE" w:rsidRPr="00EA2C95" w:rsidRDefault="00B61382">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proyecto busca a</w:t>
      </w:r>
      <w:r w:rsidR="00EA2C95" w:rsidRPr="00EA2C95">
        <w:rPr>
          <w:rFonts w:ascii="Bookman Old Style" w:eastAsia="Bookman Old Style" w:hAnsi="Bookman Old Style" w:cs="Bookman Old Style"/>
          <w:color w:val="000000"/>
          <w:sz w:val="22"/>
          <w:szCs w:val="22"/>
        </w:rPr>
        <w:t xml:space="preserve">vanzar en el reconocimiento de los animales como seres sintientes, sujetos de una protección constitucional y legal especial, a través de la prohibición de las prácticas taurinas en todo el territorio nacional, como expresiones de maltrato, crueldad y violencia. </w:t>
      </w:r>
    </w:p>
    <w:p w14:paraId="5B55E54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948E275" w14:textId="1CAF6D92" w:rsidR="00756FAE" w:rsidRPr="00EA2C95" w:rsidRDefault="00EA2C95">
      <w:pPr>
        <w:numPr>
          <w:ilvl w:val="0"/>
          <w:numId w:val="2"/>
        </w:num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ANTECEDENTES</w:t>
      </w:r>
      <w:r w:rsidR="00B61382">
        <w:rPr>
          <w:rFonts w:ascii="Bookman Old Style" w:eastAsia="Bookman Old Style" w:hAnsi="Bookman Old Style" w:cs="Bookman Old Style"/>
          <w:b/>
          <w:color w:val="000000"/>
          <w:sz w:val="22"/>
          <w:szCs w:val="22"/>
        </w:rPr>
        <w:t>.</w:t>
      </w:r>
    </w:p>
    <w:p w14:paraId="4C244EF0"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27F51C04"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 prohibición de las actividades taurinas ha sido objeto de debate desde hace varias décadas. En el año 2010, fue proferida la sentencia C-666, esta decisión ponderó el deber de protección a los animales en su calidad de seres sintientes, con las tradiciones culturales y la expresión de las mismas en aquellos territorios donde existe un arraigo social por parte de la población frente al rejoneo, las corridas de toros, las novilladas, las becerradas y las tientas</w:t>
      </w:r>
    </w:p>
    <w:p w14:paraId="01407C3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1EA8E72"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En aquella oportunidad la Corte decidió declarar exequibles las actividades de entretenimiento y de expresión cultural exceptuadas en el artículo 7 de la Ley 84 de 1989, fijando algunas limitaciones con el fin de adaptar dicha normativa a la nueva realidad jurídica que se impuso con la expedición de la Constitución de 1991. </w:t>
      </w:r>
    </w:p>
    <w:p w14:paraId="3E6768E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0315CA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Desde aquel momento, se han presentado y aprobado distintas iniciativas legislativas que han avanzado en la protección y reconocimiento de los animales, </w:t>
      </w:r>
      <w:r w:rsidRPr="00EA2C95">
        <w:rPr>
          <w:rFonts w:ascii="Bookman Old Style" w:eastAsia="Bookman Old Style" w:hAnsi="Bookman Old Style" w:cs="Bookman Old Style"/>
          <w:color w:val="000000"/>
          <w:sz w:val="22"/>
          <w:szCs w:val="22"/>
        </w:rPr>
        <w:lastRenderedPageBreak/>
        <w:t>por ejemplo, la Ley 1638 de 2013 y la Ley 1774 de 2016, y, además, han sido proferidas diversas decisiones judiciales, especialmente en sede de tutela y constitucionalidad, que cada vez más ratifican la existencia de una protección especial para los animales no solo como seres sintientes sino, incluso, como sujetos de algunos derechos.</w:t>
      </w:r>
    </w:p>
    <w:p w14:paraId="20BD0B5A"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F693F82"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El Alto Tribunal Constitucional, además, en distintas oportunidades ha delegado al legislador la potestad de determinar los alcances de la protección a los animales e incluso, desde el año 2010, dejó claro que era el Congreso el llamado a determinar si las actividades taurinas debían mantenerse por su connotación cultural o si, por el contrario, era procedente proceder a su eliminación, con el fin de cumplir los postulados de la Carta Política en materia de protección ambiental y animal, y del mismo reconocimiento hecho por la Corte, del carácter cruel y violento de las corridas respecto a los animales.</w:t>
      </w:r>
    </w:p>
    <w:p w14:paraId="53B62076"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D083E97"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Es así, como desde el año 2017 se han venido presentando iniciativas legislativas, como el proyecto de ley número 271 de 2017 Cámara y 216 de 2018 Senado y el proyecto de ley número 064 Cámara de Representantes, que han buscado modificar de forma definitiva la excepción prevista en el artículo 7 de la Ley 84 de 1989, para prohibir de forma definitiva las prácticas taurinas en el país. </w:t>
      </w:r>
    </w:p>
    <w:p w14:paraId="1055D3AA"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7A5EC10"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Ambos trámites han estado rodeados de la participación de las organizaciones civiles animalistas, que han apoyado y gestionado esta modificación que se ajusta no solo a las leyes y a la jurisprudencia actual, sino que responde verdaderamente a las nuevas formas de relacionamiento ético de los seres humanos con el ambiente y la otredad animal. No obstante, estos proyectos también han contado con la participación de los aficionados a la denominada “fiesta brava”, que han intentado mantener incólume estas tradiciones pese a que, notoriamente, cada vez más, cuentan con menos adeptos. </w:t>
      </w:r>
    </w:p>
    <w:p w14:paraId="435DEA58"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4F4053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En el caso del proyecto de ley número 271 de 2017 Cámara y 216 de 2018 Senado, es importante resaltar que fue radicado por el Ministerio del Interior, junto a una comisión ciudadana que solicitaron la presentación de la iniciativa a través de la Coalición Colombia Sin Toreo. En aquella oportunidad, el proyecto tuvo un exitoso paso en la Comisión Séptima y en la Plenaria de la Cámara de Representantes, sin embargo, no prosperó en el Senado de la República por vencimiento de términos.</w:t>
      </w:r>
    </w:p>
    <w:p w14:paraId="2078E14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8663F0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Convencidos de la importancia de esta iniciativa, el 01 de agosto de 2018, radicamos nuevamente el proyecto, esta vez con el apoyo de otros parlamentarios, el cual recogió las observaciones recibidas en el proceso legislativo anterior. El proyecto de ley 064 de 2018 superó nuevamente el primer debate en la Comisión Séptima </w:t>
      </w:r>
      <w:r w:rsidRPr="00EA2C95">
        <w:rPr>
          <w:rFonts w:ascii="Bookman Old Style" w:eastAsia="Bookman Old Style" w:hAnsi="Bookman Old Style" w:cs="Bookman Old Style"/>
          <w:sz w:val="22"/>
          <w:szCs w:val="22"/>
        </w:rPr>
        <w:t>de la</w:t>
      </w:r>
      <w:r w:rsidRPr="00EA2C95">
        <w:rPr>
          <w:rFonts w:ascii="Bookman Old Style" w:eastAsia="Bookman Old Style" w:hAnsi="Bookman Old Style" w:cs="Bookman Old Style"/>
          <w:color w:val="000000"/>
          <w:sz w:val="22"/>
          <w:szCs w:val="22"/>
        </w:rPr>
        <w:t xml:space="preserve"> Cámara de Representantes, pero no alcanzó a tener debate en la plenaria de dicha corporación por lo que fue archivado.</w:t>
      </w:r>
    </w:p>
    <w:p w14:paraId="658C9CCC"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E68333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lastRenderedPageBreak/>
        <w:t xml:space="preserve">En el año 2020 se volvió a radicar esta iniciativa, proyecto de ley 410 de 2020, convencidos de que en ese momento el Congreso de la República respondería de forma efectiva al llamado ciudadano que cada vez se consolida con más fuerza y que reclama una verdadera protección de los animales y su reconocimiento como seres sintientes a los que, incluso, les asiste el reconocimiento de ciertos derechos. </w:t>
      </w:r>
    </w:p>
    <w:p w14:paraId="5E81E7D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8A951D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A diferencia de los trámites anteriores, en esa oportunidad el enfoque del proyecto, más que controvertir actividades culturales o determinar mecanismos de sustitución laboral, se centró en los animales y en su condición de sujetos merecedores de una especial protección y del reconocimiento del derecho más básico de todos: el derecho a existir y a no ser sujetos a tratos crueles. </w:t>
      </w:r>
    </w:p>
    <w:p w14:paraId="52B69527"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184DB6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Se buscó entonces que la iniciativa fuera estudiada desde una perspectiva distinta, ya no desde el enfoque antropocéntrico que ha caracterizado, sino desde un análisis en el que el legislador </w:t>
      </w:r>
      <w:r w:rsidRPr="00EA2C95">
        <w:rPr>
          <w:rFonts w:ascii="Bookman Old Style" w:eastAsia="Bookman Old Style" w:hAnsi="Bookman Old Style" w:cs="Bookman Old Style"/>
          <w:sz w:val="22"/>
          <w:szCs w:val="22"/>
        </w:rPr>
        <w:t>evaluará</w:t>
      </w:r>
      <w:r w:rsidRPr="00EA2C95">
        <w:rPr>
          <w:rFonts w:ascii="Bookman Old Style" w:eastAsia="Bookman Old Style" w:hAnsi="Bookman Old Style" w:cs="Bookman Old Style"/>
          <w:color w:val="000000"/>
          <w:sz w:val="22"/>
          <w:szCs w:val="22"/>
        </w:rPr>
        <w:t xml:space="preserve"> a los animales como verdaderos sujetos de un derecho que, en este caso, está por encima del entretenimiento de los seres humanos. </w:t>
      </w:r>
    </w:p>
    <w:p w14:paraId="20E1B6E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E330734"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Así las cosas, el proyecto de ley 410 radicado en 2020 inició su trámite en la Comisión Primera Constitucional de la Cámara de Representantes, donde fueron designados como ponentes los H.R. Juan Carlos Lozada Vargas, José Daniel López, Inti Raúl Asprilla, Luis Alberto Albán, Juan Manuel Daza y Carlos Germán Navas Talero. El proyecto fue aprobado en primer debate el 07 de diciembre de 2020.</w:t>
      </w:r>
    </w:p>
    <w:p w14:paraId="56A80159"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6489AA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La iniciativa pasó entonces a discusión en la plenaria de la Cámara de Representantes, etapa en la que fue </w:t>
      </w:r>
      <w:r w:rsidRPr="00EA2C95">
        <w:rPr>
          <w:rFonts w:ascii="Bookman Old Style" w:eastAsia="Bookman Old Style" w:hAnsi="Bookman Old Style" w:cs="Bookman Old Style"/>
          <w:sz w:val="22"/>
          <w:szCs w:val="22"/>
        </w:rPr>
        <w:t>aprobada</w:t>
      </w:r>
      <w:r w:rsidRPr="00EA2C95">
        <w:rPr>
          <w:rFonts w:ascii="Bookman Old Style" w:eastAsia="Bookman Old Style" w:hAnsi="Bookman Old Style" w:cs="Bookman Old Style"/>
          <w:color w:val="000000"/>
          <w:sz w:val="22"/>
          <w:szCs w:val="22"/>
        </w:rPr>
        <w:t xml:space="preserve"> el 19 de abril de 2022.</w:t>
      </w:r>
    </w:p>
    <w:p w14:paraId="2A620B6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E5B54B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Habiendo surtido su trámite en la Cámara, el proyecto fue remitido a la Comisión Primera del Senado de la República, donde fueron designados como ponentes los H.S. Roy Leonardo Barreras, Angélica Lozano, María Fernanda cabal, Luis Fernando Velasco, Julián Gallo Cubillos, Eduardo Emilio Pacheco, Carlos Guevara </w:t>
      </w:r>
      <w:proofErr w:type="spellStart"/>
      <w:r w:rsidRPr="00EA2C95">
        <w:rPr>
          <w:rFonts w:ascii="Bookman Old Style" w:eastAsia="Bookman Old Style" w:hAnsi="Bookman Old Style" w:cs="Bookman Old Style"/>
          <w:color w:val="000000"/>
          <w:sz w:val="22"/>
          <w:szCs w:val="22"/>
        </w:rPr>
        <w:t>Viillabón</w:t>
      </w:r>
      <w:proofErr w:type="spellEnd"/>
      <w:r w:rsidRPr="00EA2C95">
        <w:rPr>
          <w:rFonts w:ascii="Bookman Old Style" w:eastAsia="Bookman Old Style" w:hAnsi="Bookman Old Style" w:cs="Bookman Old Style"/>
          <w:color w:val="000000"/>
          <w:sz w:val="22"/>
          <w:szCs w:val="22"/>
        </w:rPr>
        <w:t>, Roosevelt Rodríguez, Juan Carlos García y Temístocles Ortega.</w:t>
      </w:r>
    </w:p>
    <w:p w14:paraId="60CEC1F5"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6F3B20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El 4 de mayo de 2022 la H.S. María Fernanda Cabal, solicitó la realización de audiencia pública, instancia que tuvo lugar el 2 de junio. En la audiencia se escuchó a diversos sectores que manifestaron sus opiniones frente al proyecto.</w:t>
      </w:r>
    </w:p>
    <w:p w14:paraId="7E0201E5"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E0FAD7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Finalmente, la iniciativa no alcanzó a ser discutida, por lo que se archivó.</w:t>
      </w:r>
    </w:p>
    <w:p w14:paraId="2A7FABFE"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CAC3308" w14:textId="0212E712"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Convencidos de la importancia de insistir en la aprobación de este proyecto, lo volvemos a radicar para que sea discutido en la legislatura 2022-2023, con la finalidad de acabar definitivamente con unas prácticas que, bajo el manto de actividades culturales, incitan la construcción de una sociedad violenta y </w:t>
      </w:r>
      <w:r w:rsidRPr="00EA2C95">
        <w:rPr>
          <w:rFonts w:ascii="Bookman Old Style" w:eastAsia="Bookman Old Style" w:hAnsi="Bookman Old Style" w:cs="Bookman Old Style"/>
          <w:color w:val="000000"/>
          <w:sz w:val="22"/>
          <w:szCs w:val="22"/>
        </w:rPr>
        <w:lastRenderedPageBreak/>
        <w:t>desconocen el mandato constitucional de respetar y preservar todas las formas de vida.</w:t>
      </w:r>
    </w:p>
    <w:p w14:paraId="352E8A0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57128DF" w14:textId="6CEEA2F0" w:rsidR="00756FAE" w:rsidRPr="00EA2C95" w:rsidRDefault="00EA2C95">
      <w:pPr>
        <w:numPr>
          <w:ilvl w:val="0"/>
          <w:numId w:val="2"/>
        </w:num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JUSTIFICACIÓN DEL PROYECTO DE LEY</w:t>
      </w:r>
      <w:r w:rsidR="00B61382">
        <w:rPr>
          <w:rFonts w:ascii="Bookman Old Style" w:eastAsia="Bookman Old Style" w:hAnsi="Bookman Old Style" w:cs="Bookman Old Style"/>
          <w:b/>
          <w:color w:val="000000"/>
          <w:sz w:val="22"/>
          <w:szCs w:val="22"/>
        </w:rPr>
        <w:t>.</w:t>
      </w:r>
    </w:p>
    <w:p w14:paraId="7139CB0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12F9BF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El presente proyecto de ley retoma y valida el mandato ciudadano y el imperativo ético que busca, como muestra de una evolución social creciente, superar las anacrónicas prácticas taurinas, erradicando toda forma de violencia pública y legalizada hacia los animales, continuando el camino que ya ha sido trazado por la jurisprudencia constitucional y administrativa, para superar el antropocentrismo.</w:t>
      </w:r>
    </w:p>
    <w:p w14:paraId="2A7F68D0"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4E4C6B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Adicionalmente, este proyecto pretende armonizar y actualizar la legislación con la evolución jurisprudencial relativa al relacionamiento entre los seres humanos y los animales la cual, hoy en día, reconoce a los animales como verdaderos seres sintientes e, incluso, ha llegado a afirmar la existencia de unos eventuales derechos que les son predicables, claramente distintos a aquellos reconocidos a los seres humanos.</w:t>
      </w:r>
    </w:p>
    <w:p w14:paraId="07A8E59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57D0D8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En ese sentido, a través de esta iniciativa se pretende actualizar y resignificar la noción de cultura, considerando que una cultura que incluya el daño a otro ser sintiente no puede ser validada ni perpetuada, por medio de la eliminación de unas prácticas crueles y violentas con los animales, y que contravienen los mandatos constitucionales que claramente propenden por el desarrollo de una sociedad armónica con el ambiente y la fauna y la flora que lo componen. Actualización que, como se desarrollará más </w:t>
      </w:r>
      <w:r w:rsidRPr="00EA2C95">
        <w:rPr>
          <w:rFonts w:ascii="Bookman Old Style" w:eastAsia="Bookman Old Style" w:hAnsi="Bookman Old Style" w:cs="Bookman Old Style"/>
          <w:sz w:val="22"/>
          <w:szCs w:val="22"/>
        </w:rPr>
        <w:t>adelante, parten</w:t>
      </w:r>
      <w:r w:rsidRPr="00EA2C95">
        <w:rPr>
          <w:rFonts w:ascii="Bookman Old Style" w:eastAsia="Bookman Old Style" w:hAnsi="Bookman Old Style" w:cs="Bookman Old Style"/>
          <w:color w:val="000000"/>
          <w:sz w:val="22"/>
          <w:szCs w:val="22"/>
        </w:rPr>
        <w:t xml:space="preserve"> de la prevalencia de los derechos constitucionales a un medio ambiente sano, a la dignidad humana y del necesario reconocimiento de los animales como seres sintientes y sujetos de derechos que merecen una protección especial frente a todas las formas de maltrato y violencia.</w:t>
      </w:r>
    </w:p>
    <w:p w14:paraId="597DB46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67FFAD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Sobre este particular, vale la pena resaltar lo dispuesto por la Corte Constitucional en sentencia C-041 de 2017, en virtud de la cual:</w:t>
      </w:r>
    </w:p>
    <w:p w14:paraId="36C6CEE4"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3FBD0EE"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Siendo este Tribunal el intérprete autorizado de la Carta Política (art. 241), </w:t>
      </w:r>
      <w:r w:rsidRPr="00EA2C95">
        <w:rPr>
          <w:rFonts w:ascii="Bookman Old Style" w:eastAsia="Bookman Old Style" w:hAnsi="Bookman Old Style" w:cs="Bookman Old Style"/>
          <w:b/>
          <w:i/>
          <w:color w:val="000000"/>
          <w:sz w:val="22"/>
          <w:szCs w:val="22"/>
          <w:u w:val="single"/>
        </w:rPr>
        <w:t>tiene una función encomiable de hacer cierta para la realidad del Derecho la inclusión de los animales como titulares de ciertos derechos, en la obtención de los fines esenciales y sociales del Estado constitucional</w:t>
      </w:r>
      <w:r w:rsidRPr="00EA2C95">
        <w:rPr>
          <w:rFonts w:ascii="Bookman Old Style" w:eastAsia="Bookman Old Style" w:hAnsi="Bookman Old Style" w:cs="Bookman Old Style"/>
          <w:i/>
          <w:color w:val="000000"/>
          <w:sz w:val="22"/>
          <w:szCs w:val="22"/>
        </w:rPr>
        <w:t xml:space="preserve">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6E8AF49A"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63D6B659"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lastRenderedPageBreak/>
        <w:t xml:space="preserve">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w:t>
      </w:r>
      <w:r w:rsidRPr="00EA2C95">
        <w:rPr>
          <w:rFonts w:ascii="Bookman Old Style" w:eastAsia="Bookman Old Style" w:hAnsi="Bookman Old Style" w:cs="Bookman Old Style"/>
          <w:b/>
          <w:i/>
          <w:color w:val="000000"/>
          <w:sz w:val="22"/>
          <w:szCs w:val="22"/>
          <w:u w:val="single"/>
        </w:rPr>
        <w:t>Erradicar la subalternidad hacia los animales se constituye en un claro y preciso derrotero de la sociedad actual</w:t>
      </w:r>
      <w:r w:rsidRPr="00EA2C95">
        <w:rPr>
          <w:rFonts w:ascii="Bookman Old Style" w:eastAsia="Bookman Old Style" w:hAnsi="Bookman Old Style" w:cs="Bookman Old Style"/>
          <w:i/>
          <w:color w:val="000000"/>
          <w:sz w:val="22"/>
          <w:szCs w:val="22"/>
        </w:rPr>
        <w:t>” (Subrayado y negrilla fuera del texto original)</w:t>
      </w:r>
    </w:p>
    <w:p w14:paraId="3F1E5EA8" w14:textId="77777777" w:rsidR="00756FAE" w:rsidRPr="00EA2C95" w:rsidRDefault="00756FAE">
      <w:pPr>
        <w:pBdr>
          <w:top w:val="nil"/>
          <w:left w:val="nil"/>
          <w:bottom w:val="nil"/>
          <w:right w:val="nil"/>
          <w:between w:val="nil"/>
        </w:pBdr>
        <w:ind w:left="567" w:right="616"/>
        <w:jc w:val="both"/>
        <w:rPr>
          <w:rFonts w:ascii="Bookman Old Style" w:eastAsia="Bookman Old Style" w:hAnsi="Bookman Old Style" w:cs="Bookman Old Style"/>
          <w:color w:val="000000"/>
          <w:sz w:val="22"/>
          <w:szCs w:val="22"/>
        </w:rPr>
      </w:pPr>
    </w:p>
    <w:p w14:paraId="0B22233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En síntesis, esta iniciativa refleja un ineluctable cambio de paradigma social, impulsado por las nuevas generaciones, a nivel mundial y nacional, que ven en su entorno con la naturaleza y los animales una relación más armónica, integral e interdependiente, en donde la vida, sea cual sea su manifestación, debe ser preservada, respetada y protegida, máxime cuando se encuentre en clara posición de desventaja y vulneración, sobre la base de los siguientes argumentos:  </w:t>
      </w:r>
    </w:p>
    <w:p w14:paraId="37AD695E"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2B00F12" w14:textId="7646EE86" w:rsidR="00756FAE" w:rsidRPr="00EA2C95" w:rsidRDefault="00B61382">
      <w:pPr>
        <w:pBdr>
          <w:top w:val="nil"/>
          <w:left w:val="nil"/>
          <w:bottom w:val="nil"/>
          <w:right w:val="nil"/>
          <w:between w:val="nil"/>
        </w:pBd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5</w:t>
      </w:r>
      <w:r w:rsidR="00EA2C95" w:rsidRPr="00EA2C95">
        <w:rPr>
          <w:rFonts w:ascii="Bookman Old Style" w:eastAsia="Bookman Old Style" w:hAnsi="Bookman Old Style" w:cs="Bookman Old Style"/>
          <w:b/>
          <w:color w:val="000000"/>
          <w:sz w:val="22"/>
          <w:szCs w:val="22"/>
        </w:rPr>
        <w:t>.1. NORMATIVOS</w:t>
      </w:r>
      <w:r>
        <w:rPr>
          <w:rFonts w:ascii="Bookman Old Style" w:eastAsia="Bookman Old Style" w:hAnsi="Bookman Old Style" w:cs="Bookman Old Style"/>
          <w:b/>
          <w:color w:val="000000"/>
          <w:sz w:val="22"/>
          <w:szCs w:val="22"/>
        </w:rPr>
        <w:t>.</w:t>
      </w:r>
    </w:p>
    <w:p w14:paraId="073EE9C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39C232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En Colombia, existe un conjunto de normas vigentes que han consolidado las bases y desarrollos de la protección animal en el país. Si bien aún no se ha desarrollado a cabalidad el mandato constitucional sobre esta materia, los avances han sido importantes y con esta iniciativa se pretende dar un paso adicional en el camino del reconocimiento de los animales como verdaderos sujetos de protección en el ordenamiento jurídico colombiano. </w:t>
      </w:r>
    </w:p>
    <w:p w14:paraId="67FD8C85"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504C61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Entre estas importantes normas, que integran el marco jurídico general de protección de los animales, podemos citar las siguientes:</w:t>
      </w:r>
    </w:p>
    <w:p w14:paraId="2330899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81C58C1" w14:textId="77777777" w:rsidR="00756FAE" w:rsidRPr="00EA2C95" w:rsidRDefault="00EA2C95">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Ley 5 de 1972 y el Decreto reglamentario 497 de 1973:</w:t>
      </w:r>
      <w:r w:rsidRPr="00EA2C95">
        <w:rPr>
          <w:rFonts w:ascii="Bookman Old Style" w:eastAsia="Bookman Old Style" w:hAnsi="Bookman Old Style" w:cs="Bookman Old Style"/>
          <w:color w:val="000000"/>
          <w:sz w:val="22"/>
          <w:szCs w:val="22"/>
        </w:rPr>
        <w:t xml:space="preserve"> sobre las Juntas Defensoras de Animales. Estas normas disponen como obligación, la creación en cada municipio de un comité para dirigir la creación y funcionamiento de las juntas defensoras de animales, cuya labor es de recibir las “quejas de crueldad, maltratamientos [sic] o el abandono injustificado” de los animales.</w:t>
      </w:r>
    </w:p>
    <w:p w14:paraId="12859C3D"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AC78583" w14:textId="77777777" w:rsidR="00756FAE" w:rsidRPr="00EA2C95" w:rsidRDefault="00EA2C95">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Decreto 1608 de 1978:</w:t>
      </w:r>
      <w:r w:rsidRPr="00EA2C95">
        <w:rPr>
          <w:rFonts w:ascii="Bookman Old Style" w:eastAsia="Bookman Old Style" w:hAnsi="Bookman Old Style" w:cs="Bookman Old Style"/>
          <w:color w:val="000000"/>
          <w:sz w:val="22"/>
          <w:szCs w:val="22"/>
        </w:rPr>
        <w:t xml:space="preserve"> Código de los Recursos Naturales Renovables. Determina el aprovechamiento de los recursos de la flora y de la fauna. En lo que respecta a los animales, establece que los especímenes de fauna silvestre pertenecen al Estado y, en consecuencia, limita su tenencia y aprovechamiento a la figura de los zoocriaderos y a las modalidades de caza que, en todo caso, siempre requieren de las autorizaciones correspondientes.</w:t>
      </w:r>
    </w:p>
    <w:p w14:paraId="4359B2A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327961E" w14:textId="77777777" w:rsidR="00756FAE" w:rsidRPr="00EA2C95" w:rsidRDefault="00EA2C95">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lastRenderedPageBreak/>
        <w:t>Ley 17 de 1981:</w:t>
      </w:r>
      <w:r w:rsidRPr="00EA2C95">
        <w:rPr>
          <w:rFonts w:ascii="Bookman Old Style" w:eastAsia="Bookman Old Style" w:hAnsi="Bookman Old Style" w:cs="Bookman Old Style"/>
          <w:color w:val="000000"/>
          <w:sz w:val="22"/>
          <w:szCs w:val="22"/>
        </w:rPr>
        <w:t xml:space="preserve"> mediante la cual se ratifica la Convención sobre el Comercio Internacional de especies amenazadas de flora y fauna silvestre (CITES) y las resoluciones de las conferencias posteriores.</w:t>
      </w:r>
    </w:p>
    <w:p w14:paraId="00B6FADB"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6C26400" w14:textId="77777777" w:rsidR="00756FAE" w:rsidRPr="00EA2C95" w:rsidRDefault="00EA2C95">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Ley 84 de 1989:</w:t>
      </w:r>
      <w:r w:rsidRPr="00EA2C95">
        <w:rPr>
          <w:rFonts w:ascii="Bookman Old Style" w:eastAsia="Bookman Old Style" w:hAnsi="Bookman Old Style" w:cs="Bookman Old Style"/>
          <w:color w:val="000000"/>
          <w:sz w:val="22"/>
          <w:szCs w:val="22"/>
        </w:rPr>
        <w:t xml:space="preserve"> Estatuto Nacional de Protección Animal. Pese a ser una norma anterior a la Constitución de 1991, el Estatuto es la norma que desarrolla más a profundidad el principio de protección y bienestar animal en el territorio nacional. Esta norma cuenta con una parte sustancial de protección de los animales donde se enumeran una serie de conductas constitutivas de crueldad, los deberes correlativos de protección y una serie de prohibiciones. De igual forma, cuenta con una parte procedimental, que impone sanciones a los transgresores del Estatuto y señala un procedimiento administrativo y unas autoridades competentes.</w:t>
      </w:r>
    </w:p>
    <w:p w14:paraId="6A830F9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0F92287" w14:textId="77777777" w:rsidR="00756FAE" w:rsidRPr="00EA2C95" w:rsidRDefault="00EA2C95">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Ley 599 de 2000</w:t>
      </w:r>
      <w:r w:rsidRPr="00EA2C95">
        <w:rPr>
          <w:rFonts w:ascii="Bookman Old Style" w:eastAsia="Bookman Old Style" w:hAnsi="Bookman Old Style" w:cs="Bookman Old Style"/>
          <w:color w:val="000000"/>
          <w:sz w:val="22"/>
          <w:szCs w:val="22"/>
        </w:rPr>
        <w:t>: Código Penal. Esta norma contiene un capítulo exclusivo ubicado en el título XI, que tipifica las conductas que atentan contra el medio ambiente y los recursos naturales.</w:t>
      </w:r>
    </w:p>
    <w:p w14:paraId="30AE65F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D8A952A" w14:textId="77777777" w:rsidR="00756FAE" w:rsidRPr="00EA2C95" w:rsidRDefault="00EA2C95">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Ley 1638 de 2013</w:t>
      </w:r>
      <w:r w:rsidRPr="00EA2C95">
        <w:rPr>
          <w:rFonts w:ascii="Bookman Old Style" w:eastAsia="Bookman Old Style" w:hAnsi="Bookman Old Style" w:cs="Bookman Old Style"/>
          <w:color w:val="000000"/>
          <w:sz w:val="22"/>
          <w:szCs w:val="22"/>
        </w:rPr>
        <w:t>: norma que prohibió el uso de animales silvestres, nativos o exóticos, en circos fijos e itinerantes. La Ley 1638 de 2013 fue demandada ante la Corte Constitucional por la presunta vulneración a los derechos al trabajo y la cultura. No obstante, el Alto Tribunal la declaró exequible a través de la sentencia C-283 de 2014.</w:t>
      </w:r>
    </w:p>
    <w:p w14:paraId="38893D55"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402ADE4" w14:textId="77777777" w:rsidR="00756FAE" w:rsidRPr="00EA2C95" w:rsidRDefault="00EA2C95">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Ley 1774 de 2016:</w:t>
      </w:r>
      <w:r w:rsidRPr="00EA2C95">
        <w:rPr>
          <w:rFonts w:ascii="Bookman Old Style" w:eastAsia="Bookman Old Style" w:hAnsi="Bookman Old Style" w:cs="Bookman Old Style"/>
          <w:color w:val="000000"/>
          <w:sz w:val="22"/>
          <w:szCs w:val="22"/>
        </w:rPr>
        <w:t xml:space="preserve"> por medio de la cual se modifican el Código Civil, la Ley 84 de 1989, el Código Penal, el Código de Procedimiento Penal y se dictan otras disposiciones. Esta norma declaró a los animales como seres sintientes y penalizó el maltrato animal. Es conocida popularmente como la Ley contra el maltrato animal y a partir de su expedición, la jurisprudencia constitucional ha sido más contundente frente al deber de protección que les asiste a los animales dentro del ordenamiento jurídico colombiano.</w:t>
      </w:r>
    </w:p>
    <w:p w14:paraId="75D5A64B"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20597A5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Pero, sumado a estas normas, es menester reconocer que en el país se ha venido desarrollando un proceso social que, cada vez más, tiende a rechazar los espectáculos en los que se causa algún tipo de maltrato a un animal.</w:t>
      </w:r>
    </w:p>
    <w:p w14:paraId="23B82A03"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B3081F7" w14:textId="77777777" w:rsidR="00756FAE" w:rsidRPr="00EA2C95" w:rsidRDefault="00EA2C95">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Este proceso ha sido identificado por las autoridades locales que han venido imponiendo limitaciones al desarrollo de las actividades taurinas, como ocurrió en el Departamento de Antioquia, donde por medio de la Ordenanza Nº 18 de 2020, se prohíbe la utilización de elementos que laceren, corten, mutilen, hieran, quemen, lastimen, o den muerte a los animales en espectáculos.</w:t>
      </w:r>
    </w:p>
    <w:p w14:paraId="3EF6C882" w14:textId="77777777" w:rsidR="00756FAE" w:rsidRPr="00EA2C95" w:rsidRDefault="00756FAE">
      <w:pPr>
        <w:jc w:val="both"/>
        <w:rPr>
          <w:rFonts w:ascii="Bookman Old Style" w:eastAsia="Bookman Old Style" w:hAnsi="Bookman Old Style" w:cs="Bookman Old Style"/>
          <w:color w:val="000000"/>
          <w:sz w:val="22"/>
          <w:szCs w:val="22"/>
        </w:rPr>
      </w:pPr>
    </w:p>
    <w:p w14:paraId="1C76ECBC" w14:textId="77777777" w:rsidR="00756FAE" w:rsidRPr="00EA2C95" w:rsidRDefault="00756FAE">
      <w:pPr>
        <w:jc w:val="both"/>
        <w:rPr>
          <w:rFonts w:ascii="Bookman Old Style" w:eastAsia="Bookman Old Style" w:hAnsi="Bookman Old Style" w:cs="Bookman Old Style"/>
          <w:color w:val="000000"/>
          <w:sz w:val="22"/>
          <w:szCs w:val="22"/>
        </w:rPr>
      </w:pPr>
    </w:p>
    <w:p w14:paraId="1964A30B" w14:textId="77777777" w:rsidR="00756FAE" w:rsidRPr="00EA2C95" w:rsidRDefault="00EA2C95">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lastRenderedPageBreak/>
        <w:t>Por otra parte, en la ciudad de Bogotá, se aprobó el  Acuerdo 767 de 2020 del Concejo</w:t>
      </w:r>
      <w:r w:rsidRPr="00EA2C95">
        <w:rPr>
          <w:rFonts w:ascii="Bookman Old Style" w:eastAsia="Bookman Old Style" w:hAnsi="Bookman Old Style" w:cs="Bookman Old Style"/>
          <w:i/>
          <w:color w:val="000000"/>
          <w:sz w:val="22"/>
          <w:szCs w:val="22"/>
        </w:rPr>
        <w:t xml:space="preserve"> “por el cual se desincentivan las prácticas taurinas en el Distrito Capital y se dictan otras disposiciones”. </w:t>
      </w:r>
      <w:r w:rsidRPr="00EA2C95">
        <w:rPr>
          <w:rFonts w:ascii="Bookman Old Style" w:eastAsia="Bookman Old Style" w:hAnsi="Bookman Old Style" w:cs="Bookman Old Style"/>
          <w:color w:val="000000"/>
          <w:sz w:val="22"/>
          <w:szCs w:val="22"/>
        </w:rPr>
        <w:t>Acuerdo que limitó las fechas de la temporada taurina, aumentó los costos tributarios de estos espectáculos y prohibió herir o matar animales”. En razón a esta determinación del Concejo Distrital, actualmente la plaza cultural la Santamaría se encuentra cerrada al público y la tradición taurina en Bogotá quedó suspendida.</w:t>
      </w:r>
    </w:p>
    <w:p w14:paraId="44CFA00F" w14:textId="77777777" w:rsidR="00756FAE" w:rsidRPr="00EA2C95" w:rsidRDefault="00756FAE">
      <w:pPr>
        <w:jc w:val="both"/>
        <w:rPr>
          <w:rFonts w:ascii="Bookman Old Style" w:eastAsia="Bookman Old Style" w:hAnsi="Bookman Old Style" w:cs="Bookman Old Style"/>
          <w:color w:val="000000"/>
          <w:sz w:val="22"/>
          <w:szCs w:val="22"/>
        </w:rPr>
      </w:pPr>
    </w:p>
    <w:p w14:paraId="5AF35A22" w14:textId="2D8C64AC" w:rsidR="00756FAE" w:rsidRPr="00EA2C95" w:rsidRDefault="00EA2C95" w:rsidP="00B61382">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Cruzadas similares han sido adelantadas en la Gobernación de Boyacá, los concejos de Medellín y Cali, ciudades que también han ido migrando hacia una cultura de protección y bienestar animal y que han optado por establecer regulaciones locales, a falta de un pronunciamiento del Congreso de la República sobre este asunto. </w:t>
      </w:r>
    </w:p>
    <w:p w14:paraId="44D5C037"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573BCD1B" w14:textId="3A381F00" w:rsidR="00756FAE" w:rsidRPr="00EA2C95" w:rsidRDefault="00B61382">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5</w:t>
      </w:r>
      <w:r w:rsidR="00EA2C95" w:rsidRPr="00EA2C95">
        <w:rPr>
          <w:rFonts w:ascii="Bookman Old Style" w:eastAsia="Bookman Old Style" w:hAnsi="Bookman Old Style" w:cs="Bookman Old Style"/>
          <w:b/>
          <w:color w:val="000000"/>
          <w:sz w:val="22"/>
          <w:szCs w:val="22"/>
        </w:rPr>
        <w:t>.2</w:t>
      </w:r>
      <w:r w:rsidR="00E56BBC">
        <w:rPr>
          <w:rFonts w:ascii="Bookman Old Style" w:eastAsia="Bookman Old Style" w:hAnsi="Bookman Old Style" w:cs="Bookman Old Style"/>
          <w:b/>
          <w:color w:val="000000"/>
          <w:sz w:val="22"/>
          <w:szCs w:val="22"/>
        </w:rPr>
        <w:t>.</w:t>
      </w:r>
      <w:r w:rsidR="00EA2C95" w:rsidRPr="00EA2C95">
        <w:rPr>
          <w:rFonts w:ascii="Bookman Old Style" w:eastAsia="Bookman Old Style" w:hAnsi="Bookman Old Style" w:cs="Bookman Old Style"/>
          <w:b/>
          <w:color w:val="000000"/>
          <w:sz w:val="22"/>
          <w:szCs w:val="22"/>
        </w:rPr>
        <w:t xml:space="preserve"> JURISPRUDENCIALES.</w:t>
      </w:r>
    </w:p>
    <w:p w14:paraId="2C385775"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087FE46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bookmarkStart w:id="0" w:name="_heading=h.gjdgxs" w:colFirst="0" w:colLast="0"/>
      <w:bookmarkEnd w:id="0"/>
      <w:r w:rsidRPr="00EA2C95">
        <w:rPr>
          <w:rFonts w:ascii="Bookman Old Style" w:eastAsia="Bookman Old Style" w:hAnsi="Bookman Old Style" w:cs="Bookman Old Style"/>
          <w:color w:val="000000"/>
          <w:sz w:val="22"/>
          <w:szCs w:val="22"/>
        </w:rPr>
        <w:t xml:space="preserve">Las decisiones judiciales </w:t>
      </w:r>
      <w:r w:rsidRPr="00EA2C95">
        <w:rPr>
          <w:rFonts w:ascii="Bookman Old Style" w:eastAsia="Bookman Old Style" w:hAnsi="Bookman Old Style" w:cs="Bookman Old Style"/>
          <w:sz w:val="22"/>
          <w:szCs w:val="22"/>
        </w:rPr>
        <w:t>han sido</w:t>
      </w:r>
      <w:r w:rsidRPr="00EA2C95">
        <w:rPr>
          <w:rFonts w:ascii="Bookman Old Style" w:eastAsia="Bookman Old Style" w:hAnsi="Bookman Old Style" w:cs="Bookman Old Style"/>
          <w:color w:val="000000"/>
          <w:sz w:val="22"/>
          <w:szCs w:val="22"/>
        </w:rPr>
        <w:t xml:space="preserve"> la herramienta más efectiva para avanzar en la protección de los animales en el país. Desde el año 1997 se ha venido consolidando una línea jurisprudencial que cada vez ratifica con mayor ahínco la necesidad de desarrollar herramientas legislativas tendientes a reconocer a los animales como sujetos merecedores de una verdadera protección. </w:t>
      </w:r>
    </w:p>
    <w:p w14:paraId="2D69B5B5"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B6CB160"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Además, las decisiones judiciales han profundizado en la relevancia de las relaciones entre los seres humanos y los animales, ya no desde una visión antropocentrista o utilitarista, sino como seres que comparten espacios vitales y que deben interactuar desde un marco de responsabilidad, respeto y protección.  </w:t>
      </w:r>
    </w:p>
    <w:p w14:paraId="23DD9AC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78865A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De esta forma, se ha impulsado, desde la jurisprudencia, la consolidación de instrumentos legales que han propendido por modificar la concepción de los animales como bienes sujetos a la disposición del ser humano, como fue indicado en el acápite anterior. </w:t>
      </w:r>
    </w:p>
    <w:p w14:paraId="16B117A2"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2E4526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En lo que respecta al tema que ocupa el presente proyecto de ley, la línea jurisprudencial ha sido clara en avanzar en lo que respecta a la prevalencia de la protección animal frente a aquellas tradiciones que se asientan en actividades que implican violencia y maltrato. Ya en varias oportunidades, la Corte ha conminado al legislador para que adecúe las normas vigentes a los mandatos que se derivan de la llamada “Constitución Ecológica”.</w:t>
      </w:r>
    </w:p>
    <w:p w14:paraId="2C3A2E3C"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F0C6E17"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A continuación, se expondrán aquellas providencias relevantes en esta materia que no solo justifican la presentación de este proyecto sino que delegan al Congreso de la República, la responsabilidad de dar cumplimiento a los mandatos constitucionales respecto a la protección del ambiente y los animales, deber que </w:t>
      </w:r>
      <w:r w:rsidRPr="00EA2C95">
        <w:rPr>
          <w:rFonts w:ascii="Bookman Old Style" w:eastAsia="Bookman Old Style" w:hAnsi="Bookman Old Style" w:cs="Bookman Old Style"/>
          <w:color w:val="000000"/>
          <w:sz w:val="22"/>
          <w:szCs w:val="22"/>
        </w:rPr>
        <w:lastRenderedPageBreak/>
        <w:t xml:space="preserve">hasta la fecha ha omitido el legislativo que, en muchas ocasiones, ni siquiera facilita la realización de los debates pertinentes sobre estos asuntos.  </w:t>
      </w:r>
    </w:p>
    <w:p w14:paraId="2AE84E5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2D11F4E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Sentencia T-035 de 1997. Corte Constitucional.</w:t>
      </w:r>
      <w:r w:rsidRPr="00EA2C95">
        <w:rPr>
          <w:rFonts w:ascii="Bookman Old Style" w:eastAsia="Bookman Old Style" w:hAnsi="Bookman Old Style" w:cs="Bookman Old Style"/>
          <w:color w:val="000000"/>
          <w:sz w:val="22"/>
          <w:szCs w:val="22"/>
        </w:rPr>
        <w:t xml:space="preserve"> Acción de tutela relacionada con la tenencia de animales domésticos en propiedad horizontal. Es el primer pronunciamiento del Alto Tribunal Constitucional frente a la relación existente entre los seres humanos y los animales. La Corte manifiesta que la tenencia de animales es un claro desarrollo de los derechos al libre desarrollo de la personalidad y a la intimidad personal y familiar. </w:t>
      </w:r>
    </w:p>
    <w:p w14:paraId="24EC726C"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DEE576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Sentencia C-1190 de 2005. Corte Constitucional.</w:t>
      </w:r>
      <w:r w:rsidRPr="00EA2C95">
        <w:rPr>
          <w:rFonts w:ascii="Bookman Old Style" w:eastAsia="Bookman Old Style" w:hAnsi="Bookman Old Style" w:cs="Bookman Old Style"/>
          <w:color w:val="000000"/>
          <w:sz w:val="22"/>
          <w:szCs w:val="22"/>
        </w:rPr>
        <w:t xml:space="preserve"> Demanda de inconstitucionalidad contra los artículos 15, literal d) y 82 (parcial) de la Ley 916 de 2004, </w:t>
      </w:r>
      <w:r w:rsidRPr="00EA2C95">
        <w:rPr>
          <w:rFonts w:ascii="Bookman Old Style" w:eastAsia="Bookman Old Style" w:hAnsi="Bookman Old Style" w:cs="Bookman Old Style"/>
          <w:i/>
          <w:color w:val="000000"/>
          <w:sz w:val="22"/>
          <w:szCs w:val="22"/>
        </w:rPr>
        <w:t>“Por la cual se establece el Reglamento Nacional Taurino”</w:t>
      </w:r>
      <w:r w:rsidRPr="00EA2C95">
        <w:rPr>
          <w:rFonts w:ascii="Bookman Old Style" w:eastAsia="Bookman Old Style" w:hAnsi="Bookman Old Style" w:cs="Bookman Old Style"/>
          <w:color w:val="000000"/>
          <w:sz w:val="22"/>
          <w:szCs w:val="22"/>
        </w:rPr>
        <w:t>. Sentencia que busca acabar con los monopolios en el gremio taurino.</w:t>
      </w:r>
    </w:p>
    <w:p w14:paraId="5B9CC14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7B04C24"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Sentencia C-1192 de 2005</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Corte Constitucional.</w:t>
      </w:r>
      <w:r w:rsidRPr="00EA2C95">
        <w:rPr>
          <w:rFonts w:ascii="Bookman Old Style" w:eastAsia="Bookman Old Style" w:hAnsi="Bookman Old Style" w:cs="Bookman Old Style"/>
          <w:color w:val="000000"/>
          <w:sz w:val="22"/>
          <w:szCs w:val="22"/>
        </w:rPr>
        <w:t xml:space="preserve"> Demanda de inconstitucionalidad contra los artículos 1º, 2º, 22 y 80 parciales de la Ley 916 de 2004 </w:t>
      </w:r>
      <w:r w:rsidRPr="00EA2C95">
        <w:rPr>
          <w:rFonts w:ascii="Bookman Old Style" w:eastAsia="Bookman Old Style" w:hAnsi="Bookman Old Style" w:cs="Bookman Old Style"/>
          <w:i/>
          <w:color w:val="000000"/>
          <w:sz w:val="22"/>
          <w:szCs w:val="22"/>
        </w:rPr>
        <w:t>“Por la cual se establece el Reglamento Nacional Taurino”</w:t>
      </w:r>
      <w:r w:rsidRPr="00EA2C95">
        <w:rPr>
          <w:rFonts w:ascii="Bookman Old Style" w:eastAsia="Bookman Old Style" w:hAnsi="Bookman Old Style" w:cs="Bookman Old Style"/>
          <w:color w:val="000000"/>
          <w:sz w:val="22"/>
          <w:szCs w:val="22"/>
        </w:rPr>
        <w:t xml:space="preserve">. </w:t>
      </w:r>
    </w:p>
    <w:p w14:paraId="3165B82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656770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color w:val="000000"/>
          <w:sz w:val="22"/>
          <w:szCs w:val="22"/>
        </w:rPr>
        <w:t xml:space="preserve">En esta oportunidad, el Alto Tribunal Constitucional estudió el reconocimiento que el legislador hizo de las prácticas taurinas como actividades culturales. Al respecto, concluyó que </w:t>
      </w:r>
      <w:r w:rsidRPr="00EA2C95">
        <w:rPr>
          <w:rFonts w:ascii="Bookman Old Style" w:eastAsia="Bookman Old Style" w:hAnsi="Bookman Old Style" w:cs="Bookman Old Style"/>
          <w:i/>
          <w:color w:val="000000"/>
          <w:sz w:val="22"/>
          <w:szCs w:val="22"/>
        </w:rPr>
        <w:t>“Esta calificación satisface el criterio jurídico de razonabilidad, pues como manifestación de la diversidad y pluralismo de la sociedad, la tauromaquia, o en otra palabras, “el arte de lidiar toros”</w:t>
      </w:r>
      <w:hyperlink r:id="rId10" w:anchor="_ftn33">
        <w:r w:rsidRPr="00EA2C95">
          <w:rPr>
            <w:rFonts w:ascii="Bookman Old Style" w:eastAsia="Bookman Old Style" w:hAnsi="Bookman Old Style" w:cs="Bookman Old Style"/>
            <w:i/>
            <w:color w:val="000000"/>
            <w:sz w:val="22"/>
            <w:szCs w:val="22"/>
          </w:rPr>
          <w:t>[33]</w:t>
        </w:r>
      </w:hyperlink>
      <w:r w:rsidRPr="00EA2C95">
        <w:rPr>
          <w:rFonts w:ascii="Bookman Old Style" w:eastAsia="Bookman Old Style" w:hAnsi="Bookman Old Style" w:cs="Bookman Old Style"/>
          <w:i/>
          <w:color w:val="000000"/>
          <w:sz w:val="22"/>
          <w:szCs w:val="22"/>
        </w:rPr>
        <w:t>, ha sido reconocida a lo largo de la historia como una expresión artística y cultural de los pueblos iberoamericanos.</w:t>
      </w:r>
      <w:r w:rsidRPr="00EA2C95">
        <w:rPr>
          <w:rFonts w:ascii="Bookman Old Style" w:eastAsia="Bookman Old Style" w:hAnsi="Bookman Old Style" w:cs="Bookman Old Style"/>
          <w:i/>
          <w:color w:val="000000"/>
          <w:sz w:val="22"/>
          <w:szCs w:val="22"/>
          <w:vertAlign w:val="superscript"/>
        </w:rPr>
        <w:footnoteReference w:id="1"/>
      </w:r>
      <w:r w:rsidRPr="00EA2C95">
        <w:rPr>
          <w:rFonts w:ascii="Bookman Old Style" w:eastAsia="Bookman Old Style" w:hAnsi="Bookman Old Style" w:cs="Bookman Old Style"/>
          <w:i/>
          <w:color w:val="000000"/>
          <w:sz w:val="22"/>
          <w:szCs w:val="22"/>
        </w:rPr>
        <w:t>”</w:t>
      </w:r>
    </w:p>
    <w:p w14:paraId="5E22011E"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991BC1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Frente al rechazo de estas prácticas por parte de un importante sector social, la Corte manifestó que “</w:t>
      </w:r>
      <w:r w:rsidRPr="00EA2C95">
        <w:rPr>
          <w:rFonts w:ascii="Bookman Old Style" w:eastAsia="Bookman Old Style" w:hAnsi="Bookman Old Style" w:cs="Bookman Old Style"/>
          <w:i/>
          <w:color w:val="000000"/>
          <w:sz w:val="22"/>
          <w:szCs w:val="22"/>
        </w:rPr>
        <w:t>a pesar de que la actividad taurina es reprobada por un sector de la población, y en especial, por las asociaciones defensoras de animales, no puede desconocerse que la misma históricamente ha sido reconocida como una</w:t>
      </w:r>
      <w:r w:rsidRPr="00EA2C95">
        <w:rPr>
          <w:i/>
          <w:color w:val="000000"/>
          <w:sz w:val="22"/>
          <w:szCs w:val="22"/>
        </w:rPr>
        <w:t> </w:t>
      </w:r>
      <w:r w:rsidRPr="00EA2C95">
        <w:rPr>
          <w:rFonts w:ascii="Bookman Old Style" w:eastAsia="Bookman Old Style" w:hAnsi="Bookman Old Style" w:cs="Bookman Old Style"/>
          <w:i/>
          <w:color w:val="000000"/>
          <w:sz w:val="22"/>
          <w:szCs w:val="22"/>
        </w:rPr>
        <w:t>expresión artística</w:t>
      </w:r>
      <w:r w:rsidRPr="00EA2C95">
        <w:rPr>
          <w:i/>
          <w:color w:val="000000"/>
          <w:sz w:val="22"/>
          <w:szCs w:val="22"/>
        </w:rPr>
        <w:t> </w:t>
      </w:r>
      <w:r w:rsidRPr="00EA2C95">
        <w:rPr>
          <w:rFonts w:ascii="Bookman Old Style" w:eastAsia="Bookman Old Style" w:hAnsi="Bookman Old Style" w:cs="Bookman Old Style"/>
          <w:i/>
          <w:color w:val="000000"/>
          <w:sz w:val="22"/>
          <w:szCs w:val="22"/>
        </w:rPr>
        <w:t xml:space="preserve">que manifiesta la diversidad cultural de un pueblo”. </w:t>
      </w:r>
      <w:r w:rsidRPr="00EA2C95">
        <w:rPr>
          <w:rFonts w:ascii="Bookman Old Style" w:eastAsia="Bookman Old Style" w:hAnsi="Bookman Old Style" w:cs="Bookman Old Style"/>
          <w:color w:val="000000"/>
          <w:sz w:val="22"/>
          <w:szCs w:val="22"/>
        </w:rPr>
        <w:t xml:space="preserve">En ese sentido, declaró exequible el Reglamento Nacional Taurino y, entre otras decisiones, manifestó que la disposición que habilitaba a los menores de 10 años a asistir a corridas de toros en compañía de un adulto se encontraba ajustada a la constitución, en tanto garantizaba derechos como la cultura, la educación y la recreación. </w:t>
      </w:r>
    </w:p>
    <w:p w14:paraId="46EA3A5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2CCEFF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Sentencia C-367 de 2006. Corte Constitucional.</w:t>
      </w:r>
      <w:r w:rsidRPr="00EA2C95">
        <w:rPr>
          <w:rFonts w:ascii="Bookman Old Style" w:eastAsia="Bookman Old Style" w:hAnsi="Bookman Old Style" w:cs="Bookman Old Style"/>
          <w:color w:val="000000"/>
          <w:sz w:val="22"/>
          <w:szCs w:val="22"/>
        </w:rPr>
        <w:t xml:space="preserve"> Demanda de inconstitucionalidad contra los artículos 1º, parcial; 2º, parcial; 12, parcial; 22, parcial; 26, parcial; 31, parcial y 80, parcial de la Ley 916 de 2004</w:t>
      </w:r>
      <w:r w:rsidRPr="00EA2C95">
        <w:rPr>
          <w:rFonts w:ascii="Bookman Old Style" w:eastAsia="Bookman Old Style" w:hAnsi="Bookman Old Style" w:cs="Bookman Old Style"/>
          <w:i/>
          <w:color w:val="000000"/>
          <w:sz w:val="22"/>
          <w:szCs w:val="22"/>
        </w:rPr>
        <w:t>, "Por la cual se establece el reglamento nacional taurino."</w:t>
      </w:r>
      <w:r w:rsidRPr="00EA2C95">
        <w:rPr>
          <w:rFonts w:ascii="Bookman Old Style" w:eastAsia="Bookman Old Style" w:hAnsi="Bookman Old Style" w:cs="Bookman Old Style"/>
          <w:color w:val="000000"/>
          <w:sz w:val="22"/>
          <w:szCs w:val="22"/>
        </w:rPr>
        <w:t xml:space="preserve"> </w:t>
      </w:r>
    </w:p>
    <w:p w14:paraId="2B1F118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61F03B5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lastRenderedPageBreak/>
        <w:t xml:space="preserve">Principalmente se cuestiona el desarrollo de actividades taurinas por parte de los niños y su participación en estas actividades (en calidad de torerillos o a través de escuelas taurinas). Adicionalmente, se solicita la declaratoria de </w:t>
      </w:r>
      <w:proofErr w:type="spellStart"/>
      <w:r w:rsidRPr="00EA2C95">
        <w:rPr>
          <w:rFonts w:ascii="Bookman Old Style" w:eastAsia="Bookman Old Style" w:hAnsi="Bookman Old Style" w:cs="Bookman Old Style"/>
          <w:color w:val="000000"/>
          <w:sz w:val="22"/>
          <w:szCs w:val="22"/>
        </w:rPr>
        <w:t>inexequibilidad</w:t>
      </w:r>
      <w:proofErr w:type="spellEnd"/>
      <w:r w:rsidRPr="00EA2C95">
        <w:rPr>
          <w:rFonts w:ascii="Bookman Old Style" w:eastAsia="Bookman Old Style" w:hAnsi="Bookman Old Style" w:cs="Bookman Old Style"/>
          <w:color w:val="000000"/>
          <w:sz w:val="22"/>
          <w:szCs w:val="22"/>
        </w:rPr>
        <w:t xml:space="preserve"> del Reglamento Taurino, en tanto regula una actividad que no requiere desarrollo profesional y le otorga una connotación de relevancia nacional, desconociendo que se trata de una actividad privada que no es del recibo de la sociedad en general.</w:t>
      </w:r>
    </w:p>
    <w:p w14:paraId="58223806"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3CC24D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En lo que respecta a las corridas de toros como actividad cultural y a la aplicación de la Ley 916 de 2004 en todo el territorio nacional, la Corte reiteró lo dispuesto en la sentencia C-1192 de 2005. </w:t>
      </w:r>
    </w:p>
    <w:p w14:paraId="39ADD360"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C92D51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Frente al cargo relativo a la inconstitucionalidad de la disposición que permite a los niños formar parte de cuadrillas, la Corte declaró una </w:t>
      </w:r>
      <w:proofErr w:type="spellStart"/>
      <w:r w:rsidRPr="00EA2C95">
        <w:rPr>
          <w:rFonts w:ascii="Bookman Old Style" w:eastAsia="Bookman Old Style" w:hAnsi="Bookman Old Style" w:cs="Bookman Old Style"/>
          <w:color w:val="000000"/>
          <w:sz w:val="22"/>
          <w:szCs w:val="22"/>
        </w:rPr>
        <w:t>exequibilidad</w:t>
      </w:r>
      <w:proofErr w:type="spellEnd"/>
      <w:r w:rsidRPr="00EA2C95">
        <w:rPr>
          <w:rFonts w:ascii="Bookman Old Style" w:eastAsia="Bookman Old Style" w:hAnsi="Bookman Old Style" w:cs="Bookman Old Style"/>
          <w:color w:val="000000"/>
          <w:sz w:val="22"/>
          <w:szCs w:val="22"/>
        </w:rPr>
        <w:t xml:space="preserve"> condicionada en tanto no mediara, en ningún caso, explotación económica y los niños fuesen mayores de 14 años. En esta misma línea, el Alto Tribunal determinó que era constitucional la existencia de escuelas taurinas pero que en ningún caso el Estado debía promoverlas.</w:t>
      </w:r>
    </w:p>
    <w:p w14:paraId="08062E60"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02DC9E0"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Finalmente, la Corte declaró inexequible las disposiciones del Reglamento Taurino que determinaban que la tauromaquia era una actividad de alto interés nacional </w:t>
      </w:r>
    </w:p>
    <w:p w14:paraId="27A68EA3"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BBACB3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Sentencia C-666 de 2010</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Corte Constitucional.</w:t>
      </w:r>
      <w:r w:rsidRPr="00EA2C95">
        <w:rPr>
          <w:rFonts w:ascii="Bookman Old Style" w:eastAsia="Bookman Old Style" w:hAnsi="Bookman Old Style" w:cs="Bookman Old Style"/>
          <w:color w:val="000000"/>
          <w:sz w:val="22"/>
          <w:szCs w:val="22"/>
        </w:rPr>
        <w:t xml:space="preserve"> Demanda de inconstitucionalidad contra el artículo 7º de la ley 84 de 1989 que exceptúa de las actividades que constituyen actos crueles en contra de los animales el rejoneo, coleo, las corridas de toros, las novilladas, las corralejas, las becerradas y las tientas, así́ como las riñas de gallos y los procedimientos utilizados en estos espectáculos.</w:t>
      </w:r>
    </w:p>
    <w:p w14:paraId="0813128B"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EBB00E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Esta sentencia tiene una especial relevancia en materia de protección y bienestar animal, en tanto fija las bases del cambio jurisprudencial que, hasta la fecha, había hecho prevalecer el desarrollo de las actividades culturales sobre la eliminación de las formas de maltrato y violencia contra los animales.</w:t>
      </w:r>
    </w:p>
    <w:p w14:paraId="471DEC9D"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20B2F4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Si bien en aquella oportunidad se declaró exequible el artículo 7° de la Ley 84 de 1989, dicha </w:t>
      </w:r>
      <w:proofErr w:type="spellStart"/>
      <w:r w:rsidRPr="00EA2C95">
        <w:rPr>
          <w:rFonts w:ascii="Bookman Old Style" w:eastAsia="Bookman Old Style" w:hAnsi="Bookman Old Style" w:cs="Bookman Old Style"/>
          <w:color w:val="000000"/>
          <w:sz w:val="22"/>
          <w:szCs w:val="22"/>
        </w:rPr>
        <w:t>exequibilidad</w:t>
      </w:r>
      <w:proofErr w:type="spellEnd"/>
      <w:r w:rsidRPr="00EA2C95">
        <w:rPr>
          <w:rFonts w:ascii="Bookman Old Style" w:eastAsia="Bookman Old Style" w:hAnsi="Bookman Old Style" w:cs="Bookman Old Style"/>
          <w:color w:val="000000"/>
          <w:sz w:val="22"/>
          <w:szCs w:val="22"/>
        </w:rPr>
        <w:t xml:space="preserve"> fue condicionada en tanto únicamente se permitió la realización de rejoneo, coleo, corridas de toros, novilladas, corralejas, becerradas, tientas y riñas de gallos, bajo las siguientes condiciones:</w:t>
      </w:r>
    </w:p>
    <w:p w14:paraId="6222AF3B"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7A959DA" w14:textId="77777777" w:rsidR="00756FAE" w:rsidRPr="00EA2C95" w:rsidRDefault="00EA2C95">
      <w:pPr>
        <w:numPr>
          <w:ilvl w:val="0"/>
          <w:numId w:val="4"/>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Las manifestaciones culturales en las cuales se permite excepcionalmente el maltrato animal deben ser reguladas de manera tal que se garantice en la mayor medida posible el deber de protección animal. </w:t>
      </w:r>
      <w:r w:rsidRPr="00EA2C95">
        <w:rPr>
          <w:rFonts w:ascii="Bookman Old Style" w:eastAsia="Bookman Old Style" w:hAnsi="Bookman Old Style" w:cs="Bookman Old Style"/>
          <w:b/>
          <w:i/>
          <w:color w:val="000000"/>
          <w:sz w:val="22"/>
          <w:szCs w:val="22"/>
        </w:rPr>
        <w:t xml:space="preserve">Existe el deber estatal de expedir normas de rango legal e </w:t>
      </w:r>
      <w:proofErr w:type="spellStart"/>
      <w:r w:rsidRPr="00EA2C95">
        <w:rPr>
          <w:rFonts w:ascii="Bookman Old Style" w:eastAsia="Bookman Old Style" w:hAnsi="Bookman Old Style" w:cs="Bookman Old Style"/>
          <w:b/>
          <w:i/>
          <w:color w:val="000000"/>
          <w:sz w:val="22"/>
          <w:szCs w:val="22"/>
        </w:rPr>
        <w:t>infralegal</w:t>
      </w:r>
      <w:proofErr w:type="spellEnd"/>
      <w:r w:rsidRPr="00EA2C95">
        <w:rPr>
          <w:rFonts w:ascii="Bookman Old Style" w:eastAsia="Bookman Old Style" w:hAnsi="Bookman Old Style" w:cs="Bookman Old Style"/>
          <w:b/>
          <w:i/>
          <w:color w:val="000000"/>
          <w:sz w:val="22"/>
          <w:szCs w:val="22"/>
        </w:rPr>
        <w:t xml:space="preserve"> que subsanen el déficit normativo actualmente existente</w:t>
      </w:r>
      <w:r w:rsidRPr="00EA2C95">
        <w:rPr>
          <w:rFonts w:ascii="Bookman Old Style" w:eastAsia="Bookman Old Style" w:hAnsi="Bookman Old Style" w:cs="Bookman Old Style"/>
          <w:i/>
          <w:color w:val="000000"/>
          <w:sz w:val="22"/>
          <w:szCs w:val="22"/>
        </w:rPr>
        <w:t xml:space="preserve"> de manera que cobije no sólo las </w:t>
      </w:r>
      <w:r w:rsidRPr="00EA2C95">
        <w:rPr>
          <w:rFonts w:ascii="Bookman Old Style" w:eastAsia="Bookman Old Style" w:hAnsi="Bookman Old Style" w:cs="Bookman Old Style"/>
          <w:i/>
          <w:color w:val="000000"/>
          <w:sz w:val="22"/>
          <w:szCs w:val="22"/>
        </w:rPr>
        <w:lastRenderedPageBreak/>
        <w:t>manifestaciones culturales aludidas por el artículo 7 de la Ley 84 de 1989 sino el conjunto de actividades conexas con las mismas, tales como la crianza, el adiestramiento y el transporte de los animales.</w:t>
      </w:r>
    </w:p>
    <w:p w14:paraId="66E8DDDB" w14:textId="77777777" w:rsidR="00756FAE" w:rsidRPr="00EA2C95" w:rsidRDefault="00756FAE">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0E93F659" w14:textId="77777777" w:rsidR="00756FAE" w:rsidRPr="00EA2C95" w:rsidRDefault="00EA2C95">
      <w:pPr>
        <w:numPr>
          <w:ilvl w:val="0"/>
          <w:numId w:val="4"/>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No podría entenderse que las actividades exceptuadas puedan realizarse en cualquier parte del territorio nacional, sino sólo en aquellas en las que implique una manifestación ininterrumpida de tradición de dicha población.</w:t>
      </w:r>
    </w:p>
    <w:p w14:paraId="5D5E7B5D" w14:textId="77777777" w:rsidR="00756FAE" w:rsidRPr="00EA2C95" w:rsidRDefault="00756FAE">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0CAF801F" w14:textId="77777777" w:rsidR="00756FAE" w:rsidRPr="00EA2C95" w:rsidRDefault="00EA2C95">
      <w:pPr>
        <w:numPr>
          <w:ilvl w:val="0"/>
          <w:numId w:val="4"/>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La realización de dichas actividades deberá estar limitada a las precisas ocasiones en que usualmente éstas se han llevado a cabo, no pudiendo extenderse a otros momentos del año o lugares distintos a aquellos en los que resulta tradicional su realización.</w:t>
      </w:r>
    </w:p>
    <w:p w14:paraId="43D2D6DD" w14:textId="77777777" w:rsidR="00756FAE" w:rsidRPr="00EA2C95" w:rsidRDefault="00756FAE">
      <w:pPr>
        <w:ind w:left="851" w:right="900" w:hanging="22"/>
        <w:jc w:val="both"/>
        <w:rPr>
          <w:rFonts w:ascii="Bookman Old Style" w:eastAsia="Bookman Old Style" w:hAnsi="Bookman Old Style" w:cs="Bookman Old Style"/>
          <w:i/>
          <w:color w:val="000000"/>
          <w:sz w:val="22"/>
          <w:szCs w:val="22"/>
        </w:rPr>
      </w:pPr>
    </w:p>
    <w:p w14:paraId="0A89BF92" w14:textId="77777777" w:rsidR="00756FAE" w:rsidRPr="00EA2C95" w:rsidRDefault="00EA2C95">
      <w:pPr>
        <w:numPr>
          <w:ilvl w:val="0"/>
          <w:numId w:val="4"/>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Las manifestaciones culturales en las cuales está permitido el maltrato animal son aquellas mencionadas por el artículo 7 de la Ley 84 de 1989, no se entienden incluidas dentro de la excepción al deber de protección animal otras expresiones que no hayan sido contempladas en la disposición acusada.</w:t>
      </w:r>
    </w:p>
    <w:p w14:paraId="6186EB00" w14:textId="77777777" w:rsidR="00756FAE" w:rsidRPr="00EA2C95" w:rsidRDefault="00756FAE">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0FF24A3A" w14:textId="77777777" w:rsidR="00756FAE" w:rsidRPr="00EA2C95" w:rsidRDefault="00EA2C95">
      <w:pPr>
        <w:numPr>
          <w:ilvl w:val="0"/>
          <w:numId w:val="4"/>
        </w:numPr>
        <w:pBdr>
          <w:top w:val="nil"/>
          <w:left w:val="nil"/>
          <w:bottom w:val="nil"/>
          <w:right w:val="nil"/>
          <w:between w:val="nil"/>
        </w:pBdr>
        <w:ind w:left="872" w:right="900" w:hanging="22"/>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Las autoridades municipales en ningún caso podrán destinar dinero público a la construcción de instalaciones para la realización exclusiva de estas actividades.</w:t>
      </w:r>
    </w:p>
    <w:p w14:paraId="5D1643C6" w14:textId="77777777" w:rsidR="00756FAE" w:rsidRPr="00EA2C95" w:rsidRDefault="00756FAE">
      <w:pPr>
        <w:pBdr>
          <w:top w:val="nil"/>
          <w:left w:val="nil"/>
          <w:bottom w:val="nil"/>
          <w:right w:val="nil"/>
          <w:between w:val="nil"/>
        </w:pBdr>
        <w:ind w:left="1440"/>
        <w:jc w:val="both"/>
        <w:rPr>
          <w:rFonts w:ascii="Bookman Old Style" w:eastAsia="Bookman Old Style" w:hAnsi="Bookman Old Style" w:cs="Bookman Old Style"/>
          <w:color w:val="000000"/>
          <w:sz w:val="22"/>
          <w:szCs w:val="22"/>
        </w:rPr>
      </w:pPr>
    </w:p>
    <w:p w14:paraId="3A32DF51"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Pero, además de la imposición de estos requisitos, la Sentencia C-666 de 2010 desarrolló el principio de protección animal y determinó que se encontraba directamente ligado con el concepto de dignidad humana.</w:t>
      </w:r>
    </w:p>
    <w:p w14:paraId="4CADFED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A1664D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Teniendo en cuenta la relevancia de esta decisión, no solo para el proyecto que nos ocupa, sino para la línea jurisprudencial sobre los animales, a continuación, se resaltarán algunos de los apartes más relevantes.</w:t>
      </w:r>
    </w:p>
    <w:p w14:paraId="58271A57"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F2A691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En primer lugar, en lo que respecta a la inclusión de los animales dentro del concepto de ambiente y, en consecuencia, de los mandatos constitucionales frente a la protección del mismo, el Alto Tribunal resaltó lo siguiente:</w:t>
      </w:r>
    </w:p>
    <w:p w14:paraId="490DE634"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5452CBD"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“La inclusión de los animales dentro del concepto de ambiente se hace con base en el papel que estos juegan en el desarrollo de la vida humana. Acentúa la Corte que esta consideración supera el enfoque eminentemente utilitarista –que los considera en cuanto recurso utilizable por los seres humanos-, y se inserta en la visión de los animales como otros seres vivos que comparten el contexto en que se desarrolla la vida humana, siendo determinantes en el </w:t>
      </w:r>
      <w:r w:rsidRPr="00EA2C95">
        <w:rPr>
          <w:rFonts w:ascii="Bookman Old Style" w:eastAsia="Bookman Old Style" w:hAnsi="Bookman Old Style" w:cs="Bookman Old Style"/>
          <w:i/>
          <w:color w:val="000000"/>
          <w:sz w:val="22"/>
          <w:szCs w:val="22"/>
        </w:rPr>
        <w:lastRenderedPageBreak/>
        <w:t>concepto de naturaleza y, por consiguiente, convirtiéndose en destinatarios de la visión empática de los seres humanos por el contexto –o ambiente- en el que desarrolla su existencia</w:t>
      </w:r>
    </w:p>
    <w:p w14:paraId="39D20BF4"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4A215972"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En relación con su protección, la manifestación concreta de esta posición se hace a partir de dos perspectivas: la de fauna protegida en virtud del mantenimiento de la biodiversidad y el equilibrio natural de las especies; y la de fauna a la cual se debe proteger del padecimiento, maltrato y crueldad sin justificación legítima, protección esta última que refleja un contenido de moral política y conciencia de la responsabilidad que deben tener los seres humanos respecto de los otros seres sintientes.</w:t>
      </w:r>
      <w:r w:rsidRPr="00EA2C95">
        <w:rPr>
          <w:rFonts w:ascii="Bookman Old Style" w:eastAsia="Bookman Old Style" w:hAnsi="Bookman Old Style" w:cs="Bookman Old Style"/>
          <w:i/>
          <w:color w:val="000000"/>
          <w:sz w:val="22"/>
          <w:szCs w:val="22"/>
          <w:vertAlign w:val="superscript"/>
        </w:rPr>
        <w:footnoteReference w:id="2"/>
      </w:r>
      <w:r w:rsidRPr="00EA2C95">
        <w:rPr>
          <w:rFonts w:ascii="Bookman Old Style" w:eastAsia="Bookman Old Style" w:hAnsi="Bookman Old Style" w:cs="Bookman Old Style"/>
          <w:i/>
          <w:color w:val="000000"/>
          <w:sz w:val="22"/>
          <w:szCs w:val="22"/>
        </w:rPr>
        <w:t>.”</w:t>
      </w:r>
    </w:p>
    <w:p w14:paraId="7C71410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FD8A8D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En esta misma línea, la Corte sentó las primeras bases para dejar de lado la concepción utilitarista de los animales, para reconocerlos como verdaderos sujetos de protección. Sobre este asunto, se dispuso que:</w:t>
      </w:r>
    </w:p>
    <w:p w14:paraId="55D257AF"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17AC007"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u w:val="single"/>
        </w:rPr>
      </w:pP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i/>
          <w:color w:val="000000"/>
          <w:sz w:val="22"/>
          <w:szCs w:val="22"/>
        </w:rPr>
        <w:t>“la protección que se deriva de la Constitución supera la anacrónica visión de los animales como cosas animadas, para reconocer la importancia que éstos tienen dentro del entorno en que habitan las personas, no simplemente como fuentes de recursos útiles al hombre, sino en cuanto seres sintientes que forman parte del contexto en que se desarrolla la vida de los principales sujetos del ordenamiento jurídico: los seres humanos</w:t>
      </w:r>
      <w:r w:rsidRPr="00EA2C95">
        <w:rPr>
          <w:rFonts w:ascii="Bookman Old Style" w:eastAsia="Bookman Old Style" w:hAnsi="Bookman Old Style" w:cs="Bookman Old Style"/>
          <w:i/>
          <w:color w:val="000000"/>
          <w:sz w:val="22"/>
          <w:szCs w:val="22"/>
          <w:vertAlign w:val="superscript"/>
        </w:rPr>
        <w:footnoteReference w:id="3"/>
      </w:r>
      <w:r w:rsidRPr="00EA2C95">
        <w:rPr>
          <w:rFonts w:ascii="Bookman Old Style" w:eastAsia="Bookman Old Style" w:hAnsi="Bookman Old Style" w:cs="Bookman Old Style"/>
          <w:i/>
          <w:color w:val="000000"/>
          <w:sz w:val="22"/>
          <w:szCs w:val="22"/>
        </w:rPr>
        <w:t>.”</w:t>
      </w:r>
    </w:p>
    <w:p w14:paraId="5D256BC9"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FA4F467"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Fue esta precisamente la base para que, posteriormente, en la decisión se reconociera que es la dignidad humana la fuente de obligaciones jurídicas de los humanos frente a los animales. </w:t>
      </w:r>
    </w:p>
    <w:p w14:paraId="76411EC8"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B46D92A"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La dignidad humana no es un simple concepto fruto [o útil para] el garantismo estatal. La dignidad resulta un concepto integral en cuanto encarna, representa y construye un concepto, integral, de persona. La dignidad no se otorga, sino que se reconoce, de manera que siempre podrá exigirse de los seres humanos un actuar conforme a parámetros dignos y, en este sentido, coherente con su condición de ser moral que merece el reconocimiento de dichas garantías y que, llegado el caso, podría exigirlas por la posición [también] moral que tiene dentro de la comunidad.</w:t>
      </w:r>
    </w:p>
    <w:p w14:paraId="2805F980"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084163CB"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Pero esa misma condición moral, que sustenta el concepto de dignidad humana, genera obligaciones a esa persona [en cuanto ser </w:t>
      </w:r>
      <w:r w:rsidRPr="00EA2C95">
        <w:rPr>
          <w:rFonts w:ascii="Bookman Old Style" w:eastAsia="Bookman Old Style" w:hAnsi="Bookman Old Style" w:cs="Bookman Old Style"/>
          <w:i/>
          <w:color w:val="000000"/>
          <w:sz w:val="22"/>
          <w:szCs w:val="22"/>
        </w:rPr>
        <w:lastRenderedPageBreak/>
        <w:t>digno] en su manera de actuación. No podría una persona pretender que sea reconocida su condición de ser moral y comportarse legítimamente de forma contraria a la moral que se deriva de los parámetros acordados por la propia comunidad y que son consagrados en la Constitución y demás normas de naturaleza constitucional (…)</w:t>
      </w:r>
    </w:p>
    <w:p w14:paraId="4F9E1060"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7DE72476"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En este sentido, si en el mismo Estado constitucional se consagra el deber de protección a los animales vía la protección de los recursos naturales, el concepto de dignidad que se concreta en la interacción de las personas en una comunidad que se construye dentro de estos parámetros constitucionales no podrá ignorar las relaciones que surgen entre ellas y los animales. </w:t>
      </w:r>
    </w:p>
    <w:p w14:paraId="276ED128"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w:t>
      </w:r>
    </w:p>
    <w:p w14:paraId="615AC2F9"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El fundamento para esta vinculación radica en su capacidad de sentir. Es este aspecto la raíz del vínculo en la relación entre dignidad y protección a los animales: el hecho de que sean seres sintientes que pueden ser afectados por los actos de las personas. En otras palabras, la posibilidad de que se vean afectados por tratos crueles, por acciones que comportan maltrato, por hechos que los torturen o angustien obliga a que las acciones que respecto de ellos se realicen por parte de los seres humanos sean expresión del comportamiento digno que hacia ellos deben tener seres dignos. En efecto, la superioridad racional –moral- del hombre no puede significar la ausencia de límites para causar sufrimiento, dolor o angustia a seres sintientes no humanos.</w:t>
      </w:r>
    </w:p>
    <w:p w14:paraId="71F6A352"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DE46AF7"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u w:val="single"/>
        </w:rPr>
      </w:pPr>
      <w:r w:rsidRPr="00EA2C95">
        <w:rPr>
          <w:rFonts w:ascii="Bookman Old Style" w:eastAsia="Bookman Old Style" w:hAnsi="Bookman Old Style" w:cs="Bookman Old Style"/>
          <w:i/>
          <w:color w:val="000000"/>
          <w:sz w:val="22"/>
          <w:szCs w:val="22"/>
          <w:u w:val="single"/>
        </w:rPr>
        <w:t>Aunque obvia, valga mencionar que la justificación radica en una apreciación fáctica incontestable: no hay interés más primario para un ser sintiente que el de no sufrir daño o maltrato. Y debe ser este uno de los valores primordiales dentro de una comunidad moral que actúa y construye sus relaciones dentro de los parámetros del Estado constitucional</w:t>
      </w:r>
      <w:r w:rsidRPr="00EA2C95">
        <w:rPr>
          <w:rFonts w:ascii="Bookman Old Style" w:eastAsia="Bookman Old Style" w:hAnsi="Bookman Old Style" w:cs="Bookman Old Style"/>
          <w:i/>
          <w:color w:val="000000"/>
          <w:sz w:val="22"/>
          <w:szCs w:val="22"/>
          <w:u w:val="single"/>
          <w:vertAlign w:val="superscript"/>
        </w:rPr>
        <w:footnoteReference w:id="4"/>
      </w:r>
      <w:r w:rsidRPr="00EA2C95">
        <w:rPr>
          <w:rFonts w:ascii="Bookman Old Style" w:eastAsia="Bookman Old Style" w:hAnsi="Bookman Old Style" w:cs="Bookman Old Style"/>
          <w:i/>
          <w:color w:val="000000"/>
          <w:sz w:val="22"/>
          <w:szCs w:val="22"/>
          <w:u w:val="single"/>
        </w:rPr>
        <w:t>.</w:t>
      </w:r>
    </w:p>
    <w:p w14:paraId="5EE8480A"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10209E5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Ahora bien, en lo que respecta al tema particular, la demanda de inconstitucionalidad frente al rejoneo, el coleo, las corridas de toros, las novilladas, las corralejas, las becerradas, las tientas y las riñas de gallos, la Corte reconoció que su desarrollo implicaba el desarrollo de actividades que se enmarcan en actos de maltrato y crueldad animal. No obstante, también destacó la Corte que: </w:t>
      </w:r>
    </w:p>
    <w:p w14:paraId="4E667ED6"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D1CC9C8"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“para el examen de constitucionalidad de la disposición acusada no resulta indiferente que dichas actividades hayan sido </w:t>
      </w:r>
      <w:r w:rsidRPr="00EA2C95">
        <w:rPr>
          <w:rFonts w:ascii="Bookman Old Style" w:eastAsia="Bookman Old Style" w:hAnsi="Bookman Old Style" w:cs="Bookman Old Style"/>
          <w:i/>
          <w:color w:val="000000"/>
          <w:sz w:val="22"/>
          <w:szCs w:val="22"/>
        </w:rPr>
        <w:lastRenderedPageBreak/>
        <w:t>desarrolladas de tiempo atrás por algunos sectores de la sociedad y, por consiguiente, se entienden como parte de las manifestaciones que identifican a ciertas regiones dentro del territorio nacional</w:t>
      </w:r>
      <w:r w:rsidRPr="00EA2C95">
        <w:rPr>
          <w:rFonts w:ascii="Bookman Old Style" w:eastAsia="Bookman Old Style" w:hAnsi="Bookman Old Style" w:cs="Bookman Old Style"/>
          <w:i/>
          <w:color w:val="000000"/>
          <w:sz w:val="22"/>
          <w:szCs w:val="22"/>
          <w:vertAlign w:val="superscript"/>
        </w:rPr>
        <w:footnoteReference w:id="5"/>
      </w:r>
      <w:r w:rsidRPr="00EA2C95">
        <w:rPr>
          <w:rFonts w:ascii="Bookman Old Style" w:eastAsia="Bookman Old Style" w:hAnsi="Bookman Old Style" w:cs="Bookman Old Style"/>
          <w:i/>
          <w:color w:val="000000"/>
          <w:sz w:val="22"/>
          <w:szCs w:val="22"/>
        </w:rPr>
        <w:t>.”</w:t>
      </w:r>
    </w:p>
    <w:p w14:paraId="6475E90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1A79968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Fue por este último argumento que el Alto Tribunal Constitucional, determinó la </w:t>
      </w:r>
      <w:proofErr w:type="spellStart"/>
      <w:r w:rsidRPr="00EA2C95">
        <w:rPr>
          <w:rFonts w:ascii="Bookman Old Style" w:eastAsia="Bookman Old Style" w:hAnsi="Bookman Old Style" w:cs="Bookman Old Style"/>
          <w:color w:val="000000"/>
          <w:sz w:val="22"/>
          <w:szCs w:val="22"/>
        </w:rPr>
        <w:t>exequibilidad</w:t>
      </w:r>
      <w:proofErr w:type="spellEnd"/>
      <w:r w:rsidRPr="00EA2C95">
        <w:rPr>
          <w:rFonts w:ascii="Bookman Old Style" w:eastAsia="Bookman Old Style" w:hAnsi="Bookman Old Style" w:cs="Bookman Old Style"/>
          <w:color w:val="000000"/>
          <w:sz w:val="22"/>
          <w:szCs w:val="22"/>
        </w:rPr>
        <w:t xml:space="preserve"> de la excepción prevista en la Ley 84 de 1989, bajo los supuestos relatados en acápites anteriores que fijaron claras limitaciones al desarrollo de estas actividades. </w:t>
      </w:r>
    </w:p>
    <w:p w14:paraId="45914D0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243F88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Adicionalmente, resaltó la Corte que, en ningún caso se podrían ampliar las excepciones previstas en el artículo 7 de la Ley 84 de 1989. Esto en tanto debía armonizarse esta disposición con el mandato constitucional de protección a los animales. </w:t>
      </w:r>
    </w:p>
    <w:p w14:paraId="34A232BA"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D80E1C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Ahora bien, la providencia realizó varios llamados al legislador, como se transcriben a continuación:</w:t>
      </w:r>
    </w:p>
    <w:p w14:paraId="6461C7A9"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63585B9"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“Es, precisamente, este deber constitucional el que restringe el ámbito decisional de los poderes constituidos, en especial del legislador, al momento de determinar las distintas formas de regulación de los recursos naturales dentro del sistema jurídico colombiano. El que exista un deber de protección respecto de los mismos excluye automáticamente una posición de indiferencia en lo relativo a los recursos naturales, entre ellos los animales, siendo, por el contrario, preceptiva la creación de un sistema </w:t>
      </w:r>
      <w:proofErr w:type="spellStart"/>
      <w:r w:rsidRPr="00EA2C95">
        <w:rPr>
          <w:rFonts w:ascii="Bookman Old Style" w:eastAsia="Bookman Old Style" w:hAnsi="Bookman Old Style" w:cs="Bookman Old Style"/>
          <w:i/>
          <w:color w:val="000000"/>
          <w:sz w:val="22"/>
          <w:szCs w:val="22"/>
        </w:rPr>
        <w:t>infraconstitucional</w:t>
      </w:r>
      <w:proofErr w:type="spellEnd"/>
      <w:r w:rsidRPr="00EA2C95">
        <w:rPr>
          <w:rFonts w:ascii="Bookman Old Style" w:eastAsia="Bookman Old Style" w:hAnsi="Bookman Old Style" w:cs="Bookman Old Style"/>
          <w:i/>
          <w:color w:val="000000"/>
          <w:sz w:val="22"/>
          <w:szCs w:val="22"/>
        </w:rPr>
        <w:t>, que sea acorde con el sistema constitucional, que implique una protección para los mismos y que tenga en cuenta, armónicamente, el ejercicio de derechos fundamentales que eventualmente puedan verse limitados con la protección establecida para los animales.”</w:t>
      </w:r>
    </w:p>
    <w:p w14:paraId="1E57D031"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29DAB44E"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“la actuación del Legislador, que en cumplimiento de su potestad de configuración normativa debe regular de manera más detallada la permisión de maltrato animal objeto de examen constitucional. Labor que debe ser complementada con el concurso de las autoridades administrativas con competencias normativas en la materia, de manera tal que se subsane el déficit normativo del deber de protección animal al que ya se hizo referencia. En este sentido deberá expedirse una regulación de rango legal e </w:t>
      </w:r>
      <w:proofErr w:type="spellStart"/>
      <w:r w:rsidRPr="00EA2C95">
        <w:rPr>
          <w:rFonts w:ascii="Bookman Old Style" w:eastAsia="Bookman Old Style" w:hAnsi="Bookman Old Style" w:cs="Bookman Old Style"/>
          <w:i/>
          <w:color w:val="000000"/>
          <w:sz w:val="22"/>
          <w:szCs w:val="22"/>
        </w:rPr>
        <w:t>infralegal</w:t>
      </w:r>
      <w:proofErr w:type="spellEnd"/>
      <w:r w:rsidRPr="00EA2C95">
        <w:rPr>
          <w:rFonts w:ascii="Bookman Old Style" w:eastAsia="Bookman Old Style" w:hAnsi="Bookman Old Style" w:cs="Bookman Old Style"/>
          <w:i/>
          <w:color w:val="000000"/>
          <w:sz w:val="22"/>
          <w:szCs w:val="22"/>
        </w:rPr>
        <w:t xml:space="preserve"> que determine con exactitud qué acciones que impliquen maltrato animal pueden ser realizadas en desarrollo de corridas de toros, becerradas, novilladas, rejoneos, riñas de gallos, tientas y coleo, y </w:t>
      </w:r>
      <w:r w:rsidRPr="00EA2C95">
        <w:rPr>
          <w:rFonts w:ascii="Bookman Old Style" w:eastAsia="Bookman Old Style" w:hAnsi="Bookman Old Style" w:cs="Bookman Old Style"/>
          <w:i/>
          <w:color w:val="000000"/>
          <w:sz w:val="22"/>
          <w:szCs w:val="22"/>
        </w:rPr>
        <w:lastRenderedPageBreak/>
        <w:t>en las actividades conexas con dichas manifestaciones culturales, tales como la crianza, el encierro, el adiestramiento y el transporte de los animales involucrados en las mismas.”</w:t>
      </w:r>
    </w:p>
    <w:p w14:paraId="4643D945"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3F30A1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Ahora bien, respecto a la posibilidad de prohibir estas actividades, el Alto Tribunal señaló:</w:t>
      </w:r>
    </w:p>
    <w:p w14:paraId="0DD75FB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A7FA1E9"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i/>
          <w:color w:val="000000"/>
          <w:sz w:val="22"/>
          <w:szCs w:val="22"/>
        </w:rPr>
        <w:t xml:space="preserve">Incluso </w:t>
      </w:r>
      <w:r w:rsidRPr="00EA2C95">
        <w:rPr>
          <w:rFonts w:ascii="Bookman Old Style" w:eastAsia="Bookman Old Style" w:hAnsi="Bookman Old Style" w:cs="Bookman Old Style"/>
          <w:b/>
          <w:i/>
          <w:color w:val="000000"/>
          <w:sz w:val="22"/>
          <w:szCs w:val="22"/>
          <w:u w:val="single"/>
        </w:rPr>
        <w:t>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w:t>
      </w:r>
      <w:r w:rsidRPr="00EA2C95">
        <w:rPr>
          <w:rFonts w:ascii="Bookman Old Style" w:eastAsia="Bookman Old Style" w:hAnsi="Bookman Old Style" w:cs="Bookman Old Style"/>
          <w:i/>
          <w:color w:val="000000"/>
          <w:sz w:val="22"/>
          <w:szCs w:val="22"/>
        </w:rPr>
        <w:t>, pues como lo ha defendido esta Corporación en numerosas oportunidades, la Constitución de 1991 no es estática y la permisión contenida en un cuerpo normativo preconstitucional no puede limitar la libertad de configuración del órgano representativo de acuerdo a los cambios que se produzcan en el seno de la sociedad.” (subrayado y negrilla fuera del texto original).</w:t>
      </w:r>
    </w:p>
    <w:p w14:paraId="2D73247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54B95C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Sentencia C-889 del 2012</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Corte Constitucional.</w:t>
      </w:r>
      <w:r w:rsidRPr="00EA2C95">
        <w:rPr>
          <w:rFonts w:ascii="Bookman Old Style" w:eastAsia="Bookman Old Style" w:hAnsi="Bookman Old Style" w:cs="Bookman Old Style"/>
          <w:color w:val="000000"/>
          <w:sz w:val="22"/>
          <w:szCs w:val="22"/>
        </w:rPr>
        <w:t xml:space="preserve"> Demanda de inconstitucionalidad contra los artículos 14 y 15 (parciales) de la Ley 916 de 2004 </w:t>
      </w:r>
      <w:r w:rsidRPr="00EA2C95">
        <w:rPr>
          <w:rFonts w:ascii="Bookman Old Style" w:eastAsia="Bookman Old Style" w:hAnsi="Bookman Old Style" w:cs="Bookman Old Style"/>
          <w:i/>
          <w:color w:val="000000"/>
          <w:sz w:val="22"/>
          <w:szCs w:val="22"/>
        </w:rPr>
        <w:t>“por la cual se establece el Reglamento Nacional Taurino.”</w:t>
      </w:r>
      <w:r w:rsidRPr="00EA2C95">
        <w:rPr>
          <w:rFonts w:ascii="Bookman Old Style" w:eastAsia="Bookman Old Style" w:hAnsi="Bookman Old Style" w:cs="Bookman Old Style"/>
          <w:color w:val="000000"/>
          <w:sz w:val="22"/>
          <w:szCs w:val="22"/>
        </w:rPr>
        <w:t xml:space="preserve">  Esto en tanto considera la accionante que limita las facultades de las entidades territoriales para determinar la procedencia de la realización de corridas de toros. Esta sentencia retoma lo dispuesto en la C-666 de 2010 y al respecto refiere, que:</w:t>
      </w:r>
    </w:p>
    <w:p w14:paraId="2FBD6F8C"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16D248E"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Como se observa, de las decisiones C-1192/05 y C-666/10 se colige que la jurisprudencia constitucional advierte que concurre una previsión legislativa de reconocimiento de las corridas de toros como una expresión tradicional que integra el patrimonio cultural de la Nación.  Con todo, en tanto esa práctica involucra maltrato animal, contradice el mandato superior de protección al medio ambiente, a través de la garantía del</w:t>
      </w:r>
      <w:r w:rsidRPr="00EA2C95">
        <w:rPr>
          <w:i/>
          <w:color w:val="000000"/>
          <w:sz w:val="22"/>
          <w:szCs w:val="22"/>
        </w:rPr>
        <w:t> </w:t>
      </w:r>
      <w:r w:rsidRPr="00EA2C95">
        <w:rPr>
          <w:rFonts w:ascii="Bookman Old Style" w:eastAsia="Bookman Old Style" w:hAnsi="Bookman Old Style" w:cs="Bookman Old Style"/>
          <w:i/>
          <w:color w:val="000000"/>
          <w:sz w:val="22"/>
          <w:szCs w:val="22"/>
        </w:rPr>
        <w:t>bienestar animal.  Por ende, se hace necesario imponer restricciones, también de naturaleza constitucional, sobre dichas actividades.  Estas limitaciones responden a dos planos diferenciados: (i) la exigencia de carácter cualificado a la práctica cultural, en términos de arraigo, localización, oportunidad y excepcionalidad, excluyéndose el reconocimiento estatal a las demás expresiones que no respondan a estos criterios; y (ii) el deber estatal de adelantar acciones que desincentiven las prácticas culturales que incorporan maltrato o tratos crueles a los animales.</w:t>
      </w:r>
    </w:p>
    <w:p w14:paraId="23201522"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20D7800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lastRenderedPageBreak/>
        <w:t xml:space="preserve">Más adelante, frente a la posibilidad de prohibir las actividades culturales que implican maltrato animal, y frente al cargo de inconstitucionalidad que sustentó el pronunciamiento, la Corte dispuso lo siguiente: </w:t>
      </w:r>
    </w:p>
    <w:p w14:paraId="0656B195"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6E76756"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las autoridades locales carecen de un soporte normativo que las lleve a concluir que la actividad taurina está prohibida in genere. En contrario, se trata de un espectáculo avalado por las normas legales, pero que ha sido sometido a restricciones estrictas y específicas por parte de la Corte, en aras de hacerlo compatible con las prescripciones constitucionales relacionadas con la protección del medio ambiente.  En ese sentido, comparte unidad de sentido con otra serie de actividades que si bien no están constitucional o legalmente prohibidas, sí se someten válidamente a limitaciones, incluso intensas, pues existe el interés de desincentivarlas, como sucede con el consumo de tabaco o de bebidas embriagantes.</w:t>
      </w:r>
      <w:hyperlink r:id="rId11" w:anchor="_ftn32">
        <w:r w:rsidRPr="00EA2C95">
          <w:rPr>
            <w:rFonts w:ascii="Bookman Old Style" w:eastAsia="Bookman Old Style" w:hAnsi="Bookman Old Style" w:cs="Bookman Old Style"/>
            <w:i/>
            <w:color w:val="000000"/>
            <w:sz w:val="22"/>
            <w:szCs w:val="22"/>
          </w:rPr>
          <w:t>[32]</w:t>
        </w:r>
      </w:hyperlink>
      <w:r w:rsidRPr="00EA2C95">
        <w:rPr>
          <w:rFonts w:ascii="Bookman Old Style" w:eastAsia="Bookman Old Style" w:hAnsi="Bookman Old Style" w:cs="Bookman Old Style"/>
          <w:i/>
          <w:color w:val="000000"/>
          <w:sz w:val="22"/>
          <w:szCs w:val="22"/>
        </w:rPr>
        <w:t> A su vez, como se trata de una actividad controversial y que compromete posiciones jurídicas constitucionalmente relevantes, bien puede ser restringida por el legislador, al grado de prohibición general.  Sin embargo, consideraciones básicas derivadas de la eficacia del principio democrático, exigen que esas decisiones estén precedidas del debate propio de las normas legales.”</w:t>
      </w:r>
    </w:p>
    <w:p w14:paraId="36742FA6"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2254D23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Finalmente, la Corte determina los criterios que se deben cumplir para poder realizar una corrida de toros, de conformidad con el Reglamento Nacional Taurino y declara la </w:t>
      </w:r>
      <w:proofErr w:type="spellStart"/>
      <w:r w:rsidRPr="00EA2C95">
        <w:rPr>
          <w:rFonts w:ascii="Bookman Old Style" w:eastAsia="Bookman Old Style" w:hAnsi="Bookman Old Style" w:cs="Bookman Old Style"/>
          <w:color w:val="000000"/>
          <w:sz w:val="22"/>
          <w:szCs w:val="22"/>
        </w:rPr>
        <w:t>exequibilidad</w:t>
      </w:r>
      <w:proofErr w:type="spellEnd"/>
      <w:r w:rsidRPr="00EA2C95">
        <w:rPr>
          <w:rFonts w:ascii="Bookman Old Style" w:eastAsia="Bookman Old Style" w:hAnsi="Bookman Old Style" w:cs="Bookman Old Style"/>
          <w:color w:val="000000"/>
          <w:sz w:val="22"/>
          <w:szCs w:val="22"/>
        </w:rPr>
        <w:t xml:space="preserve"> de la norma acusada bajo los criterios ya reseñados en la sentencia C-666 de 2010.</w:t>
      </w:r>
    </w:p>
    <w:p w14:paraId="2B124D52"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82D107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Fallo 22592 de 2012</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Consejo de Estado</w:t>
      </w:r>
      <w:r w:rsidRPr="00EA2C95">
        <w:rPr>
          <w:rFonts w:ascii="Bookman Old Style" w:eastAsia="Bookman Old Style" w:hAnsi="Bookman Old Style" w:cs="Bookman Old Style"/>
          <w:color w:val="000000"/>
          <w:sz w:val="22"/>
          <w:szCs w:val="22"/>
        </w:rPr>
        <w:t>. Sus implicaciones complementan el reconocimiento sobre la sintiencia (Capacidad de sentir placer y dolor) de los animales que hizo la Corte Constitucional en la Sentencia 666 de 2010. Es armónico con la Sentencia 666 de 2010, que limitó de manera considerable el ejercicio de la tauromaquia en Colombia, reconociéndola como un acto cruel que debe ir desapareciendo con el tiempo, a la par que resalta una serie de medidas que llevan a proteger a los animales partícipes. Lo anterior, va en dirección del espíritu consagrado en los anales de la Ley 84 de 1989 – Estatuto Nacional de Protección a los Animales, que a pesar de sus expresas y controversiales excepciones, donde se incluye la tauromaquia, sí pone de manifiesto la necesidad de una mayor evolución moral, de modo que logre abarcar y no discrimine a ninguna especie animal.</w:t>
      </w:r>
    </w:p>
    <w:p w14:paraId="73DE731C"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7F2E1F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Sentencia C-283 de 2014. Corte Constitucional.</w:t>
      </w:r>
      <w:r w:rsidRPr="00EA2C95">
        <w:rPr>
          <w:rFonts w:ascii="Bookman Old Style" w:eastAsia="Bookman Old Style" w:hAnsi="Bookman Old Style" w:cs="Bookman Old Style"/>
          <w:color w:val="000000"/>
          <w:sz w:val="22"/>
          <w:szCs w:val="22"/>
        </w:rPr>
        <w:t xml:space="preserve"> Demanda de inconstitucionalidad contra la Ley 1638 de 2013 que prohibió el uso de animales silvestres, nativos o exóticos, en espectáculos de circos fijos e itinerantes, en todo el territorio nacional. </w:t>
      </w:r>
    </w:p>
    <w:p w14:paraId="7BD4D1F8"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2E880B3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La Corte declaró la </w:t>
      </w:r>
      <w:proofErr w:type="spellStart"/>
      <w:r w:rsidRPr="00EA2C95">
        <w:rPr>
          <w:rFonts w:ascii="Bookman Old Style" w:eastAsia="Bookman Old Style" w:hAnsi="Bookman Old Style" w:cs="Bookman Old Style"/>
          <w:color w:val="000000"/>
          <w:sz w:val="22"/>
          <w:szCs w:val="22"/>
        </w:rPr>
        <w:t>exequibilidad</w:t>
      </w:r>
      <w:proofErr w:type="spellEnd"/>
      <w:r w:rsidRPr="00EA2C95">
        <w:rPr>
          <w:rFonts w:ascii="Bookman Old Style" w:eastAsia="Bookman Old Style" w:hAnsi="Bookman Old Style" w:cs="Bookman Old Style"/>
          <w:color w:val="000000"/>
          <w:sz w:val="22"/>
          <w:szCs w:val="22"/>
        </w:rPr>
        <w:t xml:space="preserve"> de las normas demandadas, resaltando que fueron </w:t>
      </w:r>
      <w:r w:rsidRPr="00EA2C95">
        <w:rPr>
          <w:rFonts w:ascii="Bookman Old Style" w:eastAsia="Bookman Old Style" w:hAnsi="Bookman Old Style" w:cs="Bookman Old Style"/>
          <w:sz w:val="22"/>
          <w:szCs w:val="22"/>
        </w:rPr>
        <w:t>proferidas</w:t>
      </w:r>
      <w:r w:rsidRPr="00EA2C95">
        <w:rPr>
          <w:rFonts w:ascii="Bookman Old Style" w:eastAsia="Bookman Old Style" w:hAnsi="Bookman Old Style" w:cs="Bookman Old Style"/>
          <w:color w:val="000000"/>
          <w:sz w:val="22"/>
          <w:szCs w:val="22"/>
        </w:rPr>
        <w:t xml:space="preserve"> en cumplimiento del mandato constitucional de protección al ambiente y a los animales.</w:t>
      </w:r>
    </w:p>
    <w:p w14:paraId="3423C541"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B531AE4"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Sobre este asunto y después de realizar un recuento sobre las normas constitucionales que tratan sobre estos asuntos, los instrumentos internacionales que se han ocupado sobre la materia y las razones para prohibir el uso de animales en este tipo de espectáculos, el Alto Tribunal resaltó:</w:t>
      </w:r>
    </w:p>
    <w:p w14:paraId="1E3B7339"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9C015BD"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bookmarkStart w:id="1" w:name="_heading=h.30j0zll" w:colFirst="0" w:colLast="0"/>
      <w:bookmarkEnd w:id="1"/>
      <w:r w:rsidRPr="00EA2C95">
        <w:rPr>
          <w:rFonts w:ascii="Bookman Old Style" w:eastAsia="Bookman Old Style" w:hAnsi="Bookman Old Style" w:cs="Bookman Old Style"/>
          <w:i/>
          <w:color w:val="000000"/>
          <w:sz w:val="22"/>
          <w:szCs w:val="22"/>
        </w:rPr>
        <w:t>“Tales preceptos constitucionales muestran la relevancia del interés superior del medio ambiente -Carta ecológica- como bien a proteger por sí mismo, además de la relación estrecha con los seres de la tierra. Una mayor consciencia, efectividad y drasticidad en la política defensora de la fauna silvestre se constituye en un imperativo. Los peligros y daños ambientales (maltrato animal-progresiva desaparición de la fauna) plantean la necesidad de normar los procesos bajo la neutralización del daño ambiental y la adopción de medidas oportunas eficaces aunque no exista certeza del daño.</w:t>
      </w:r>
      <w:hyperlink r:id="rId12" w:anchor="_ftn242">
        <w:r w:rsidRPr="00EA2C95">
          <w:rPr>
            <w:rFonts w:ascii="Bookman Old Style" w:eastAsia="Bookman Old Style" w:hAnsi="Bookman Old Style" w:cs="Bookman Old Style"/>
            <w:i/>
            <w:color w:val="000000"/>
            <w:sz w:val="22"/>
            <w:szCs w:val="22"/>
          </w:rPr>
          <w:t>[242]</w:t>
        </w:r>
      </w:hyperlink>
      <w:r w:rsidRPr="00EA2C95">
        <w:rPr>
          <w:rFonts w:ascii="Bookman Old Style" w:eastAsia="Bookman Old Style" w:hAnsi="Bookman Old Style" w:cs="Bookman Old Style"/>
          <w:i/>
          <w:color w:val="000000"/>
          <w:sz w:val="22"/>
          <w:szCs w:val="22"/>
        </w:rPr>
        <w:t> La interconexión con las demás formas de vida, el acceso apropiado a los recursos biológicos y genéticos, el respeto por el conocimiento tradicional y la protección de la biósfera y biodiversidad, habrán de atenderse por la humanidad</w:t>
      </w:r>
      <w:r w:rsidRPr="00EA2C95">
        <w:rPr>
          <w:rFonts w:ascii="Bookman Old Style" w:eastAsia="Bookman Old Style" w:hAnsi="Bookman Old Style" w:cs="Bookman Old Style"/>
          <w:i/>
          <w:color w:val="000000"/>
          <w:sz w:val="22"/>
          <w:szCs w:val="22"/>
          <w:vertAlign w:val="superscript"/>
        </w:rPr>
        <w:footnoteReference w:id="6"/>
      </w:r>
      <w:r w:rsidRPr="00EA2C95">
        <w:rPr>
          <w:rFonts w:ascii="Bookman Old Style" w:eastAsia="Bookman Old Style" w:hAnsi="Bookman Old Style" w:cs="Bookman Old Style"/>
          <w:i/>
          <w:color w:val="000000"/>
          <w:sz w:val="22"/>
          <w:szCs w:val="22"/>
        </w:rPr>
        <w:t xml:space="preserve">”. </w:t>
      </w:r>
    </w:p>
    <w:p w14:paraId="090EF12B"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D46BB9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color w:val="000000"/>
          <w:sz w:val="22"/>
          <w:szCs w:val="22"/>
        </w:rPr>
        <w:t xml:space="preserve">En suma, la Corte determinó la existencia de un fin constitucionalmente válido en la ley demandada, al propender por la preservación del medio ambiente a través de la protección de los animales silvestres. </w:t>
      </w:r>
    </w:p>
    <w:p w14:paraId="3D984A54"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6685F9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b/>
          <w:color w:val="000000"/>
          <w:sz w:val="22"/>
          <w:szCs w:val="22"/>
        </w:rPr>
        <w:t>Sentencia C-467 de 2016.</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Corte Constitucional.</w:t>
      </w:r>
      <w:r w:rsidRPr="00EA2C95">
        <w:rPr>
          <w:rFonts w:ascii="Bookman Old Style" w:eastAsia="Bookman Old Style" w:hAnsi="Bookman Old Style" w:cs="Bookman Old Style"/>
          <w:color w:val="000000"/>
          <w:sz w:val="22"/>
          <w:szCs w:val="22"/>
        </w:rPr>
        <w:t xml:space="preserve"> Demanda de inconstitucionalidad presentada contra los artículos 656 y 658 del Código Civil que otorgaban a los animales la calidad de bienes muebles semovientes e inmuebles por destinación. La demanda tuvo como fundamento el reconocimiento de seres sintientes realizado por el legislador a través de la Ley 1774 de 2016.</w:t>
      </w:r>
      <w:r w:rsidRPr="00EA2C95">
        <w:rPr>
          <w:rFonts w:ascii="Arial" w:eastAsia="Arial" w:hAnsi="Arial" w:cs="Arial"/>
          <w:color w:val="000000"/>
          <w:sz w:val="22"/>
          <w:szCs w:val="22"/>
        </w:rPr>
        <w:t xml:space="preserve"> </w:t>
      </w:r>
    </w:p>
    <w:p w14:paraId="3D2907D7"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A1E9BF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En esta oportunidad la Corte estudió las implicaciones de que los animales tuviesen doble connotación, a saber, la de bienes y la de seres sintientes, concluyendo que </w:t>
      </w:r>
      <w:r w:rsidRPr="00EA2C95">
        <w:rPr>
          <w:rFonts w:ascii="Bookman Old Style" w:eastAsia="Bookman Old Style" w:hAnsi="Bookman Old Style" w:cs="Bookman Old Style"/>
          <w:i/>
          <w:color w:val="000000"/>
          <w:sz w:val="22"/>
          <w:szCs w:val="22"/>
        </w:rPr>
        <w:t>“la definición legal que se cuestiona se proyecta exclusivamente en el escenario civil, escenario que, por su propia naturaleza, escapa a la definición del trato que deben recibir los animales como seres sintientes</w:t>
      </w:r>
      <w:r w:rsidRPr="00EA2C95">
        <w:rPr>
          <w:rFonts w:ascii="Bookman Old Style" w:eastAsia="Bookman Old Style" w:hAnsi="Bookman Old Style" w:cs="Bookman Old Style"/>
          <w:i/>
          <w:color w:val="000000"/>
          <w:sz w:val="22"/>
          <w:szCs w:val="22"/>
          <w:vertAlign w:val="superscript"/>
        </w:rPr>
        <w:footnoteReference w:id="7"/>
      </w:r>
      <w:r w:rsidRPr="00EA2C95">
        <w:rPr>
          <w:rFonts w:ascii="Bookman Old Style" w:eastAsia="Bookman Old Style" w:hAnsi="Bookman Old Style" w:cs="Bookman Old Style"/>
          <w:i/>
          <w:color w:val="000000"/>
          <w:sz w:val="22"/>
          <w:szCs w:val="22"/>
        </w:rPr>
        <w:t>”.</w:t>
      </w:r>
      <w:r w:rsidRPr="00EA2C95">
        <w:rPr>
          <w:rFonts w:ascii="Bookman Old Style" w:eastAsia="Bookman Old Style" w:hAnsi="Bookman Old Style" w:cs="Bookman Old Style"/>
          <w:color w:val="000000"/>
          <w:sz w:val="22"/>
          <w:szCs w:val="22"/>
        </w:rPr>
        <w:t xml:space="preserve"> </w:t>
      </w:r>
    </w:p>
    <w:p w14:paraId="33526345"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AB7104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lastRenderedPageBreak/>
        <w:t xml:space="preserve">Para llegar a esta conclusión el Alto Tribunal determinó que la protección de los animales </w:t>
      </w:r>
      <w:r w:rsidRPr="00EA2C95">
        <w:rPr>
          <w:rFonts w:ascii="Bookman Old Style" w:eastAsia="Bookman Old Style" w:hAnsi="Bookman Old Style" w:cs="Bookman Old Style"/>
          <w:i/>
          <w:color w:val="000000"/>
          <w:sz w:val="22"/>
          <w:szCs w:val="22"/>
        </w:rPr>
        <w:t>“se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w:t>
      </w:r>
      <w:r w:rsidRPr="00EA2C95">
        <w:rPr>
          <w:rFonts w:ascii="Bookman Old Style" w:eastAsia="Bookman Old Style" w:hAnsi="Bookman Old Style" w:cs="Bookman Old Style"/>
          <w:i/>
          <w:color w:val="000000"/>
          <w:sz w:val="22"/>
          <w:szCs w:val="22"/>
          <w:vertAlign w:val="superscript"/>
        </w:rPr>
        <w:footnoteReference w:id="8"/>
      </w:r>
      <w:r w:rsidRPr="00EA2C95">
        <w:rPr>
          <w:rFonts w:ascii="Bookman Old Style" w:eastAsia="Bookman Old Style" w:hAnsi="Bookman Old Style" w:cs="Bookman Old Style"/>
          <w:i/>
          <w:color w:val="000000"/>
          <w:sz w:val="22"/>
          <w:szCs w:val="22"/>
        </w:rPr>
        <w:t>.”</w:t>
      </w:r>
      <w:r w:rsidRPr="00EA2C95">
        <w:rPr>
          <w:rFonts w:ascii="Bookman Old Style" w:eastAsia="Bookman Old Style" w:hAnsi="Bookman Old Style" w:cs="Bookman Old Style"/>
          <w:color w:val="000000"/>
          <w:sz w:val="22"/>
          <w:szCs w:val="22"/>
        </w:rPr>
        <w:t xml:space="preserve"> En ese sentido, y en lo que corresponde a la función del legislador, la Corte resaltó que:</w:t>
      </w:r>
    </w:p>
    <w:p w14:paraId="5BF949B0"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58CDE8D"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i/>
          <w:color w:val="000000"/>
          <w:sz w:val="22"/>
          <w:szCs w:val="22"/>
        </w:rPr>
        <w:t>la intervención legislativa en estos escenarios a la luz de los estándares de bienestar animal reviste un alto nivel de complejidad, porque implica mucho más que una recalificación legal abstracta, y exige intervenir variables de orden cultural, patrones alimentarios de vieja data, y reconfigurar modelos de producción no susceptibles de ser alterados unilateral y automáticamente. Es decir, la intervención legislativa en los ámbitos en los que se produce el maltrato animal, como la producción de materias primas (carne, lácteos y pieles), la investigación y experimentación con fines científicos e industriales, la utilización de animales como fuerza de trabajo o espectáculos públicos, y la tenencia de animales domésticos y salvajes, requiere de instrumentos y herramientas altamente sofisticadas, que rebasan por mucho la sola recalificación legal de los animales.</w:t>
      </w:r>
    </w:p>
    <w:p w14:paraId="08427322" w14:textId="77777777" w:rsidR="00756FAE" w:rsidRPr="00EA2C95" w:rsidRDefault="00756FAE">
      <w:pPr>
        <w:ind w:left="851" w:right="900"/>
        <w:jc w:val="both"/>
        <w:rPr>
          <w:rFonts w:ascii="Bookman Old Style" w:eastAsia="Bookman Old Style" w:hAnsi="Bookman Old Style" w:cs="Bookman Old Style"/>
          <w:b/>
          <w:color w:val="000000"/>
          <w:sz w:val="22"/>
          <w:szCs w:val="22"/>
        </w:rPr>
      </w:pPr>
    </w:p>
    <w:p w14:paraId="7847A3C2"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De hecho, en aquellos casos en los que este tribunal se ha pronunciado sobre la prohibición de maltrato animal, ha concluido que la materialización de este principio no se obtiene por vía de la variación de su status legal, considerado en abstracto, sino por vía de la adopción de medidas concretas y específicas que regularicen la actividad humana en su interacción con los animales, como la adopción de protocolos para el ejercicio de actividades que provocan sufrimiento animal, o su prohibición inmediata o progresiva</w:t>
      </w:r>
      <w:r w:rsidRPr="00EA2C95">
        <w:rPr>
          <w:rFonts w:ascii="Bookman Old Style" w:eastAsia="Bookman Old Style" w:hAnsi="Bookman Old Style" w:cs="Bookman Old Style"/>
          <w:i/>
          <w:color w:val="000000"/>
          <w:sz w:val="22"/>
          <w:szCs w:val="22"/>
          <w:vertAlign w:val="superscript"/>
        </w:rPr>
        <w:footnoteReference w:id="9"/>
      </w:r>
      <w:r w:rsidRPr="00EA2C95">
        <w:rPr>
          <w:rFonts w:ascii="Bookman Old Style" w:eastAsia="Bookman Old Style" w:hAnsi="Bookman Old Style" w:cs="Bookman Old Style"/>
          <w:i/>
          <w:color w:val="000000"/>
          <w:sz w:val="22"/>
          <w:szCs w:val="22"/>
        </w:rPr>
        <w:t>.”</w:t>
      </w:r>
    </w:p>
    <w:p w14:paraId="6F624375"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7C2D49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Estos comentarios nuevamente, ratifican que es el Legislador el llamado a armonizar las normas actuales con los principios constitucionales de protección a los animales y que, solo el Congreso puede proceder a erradicar aquellas prácticas que constituyan maltrato animal, incluso cuando estén cobijadas por una connotación cultural. </w:t>
      </w:r>
    </w:p>
    <w:p w14:paraId="786387A3"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D577B0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 xml:space="preserve">Sentencia C-041 de 2017. Corte Constitucional. </w:t>
      </w:r>
      <w:r w:rsidRPr="00EA2C95">
        <w:rPr>
          <w:rFonts w:ascii="Bookman Old Style" w:eastAsia="Bookman Old Style" w:hAnsi="Bookman Old Style" w:cs="Bookman Old Style"/>
          <w:color w:val="000000"/>
          <w:sz w:val="22"/>
          <w:szCs w:val="22"/>
        </w:rPr>
        <w:t xml:space="preserve">En esta oportunidad se demanda la expresión “menoscaben gravemente” prevista en el artículo 5º de la Ley </w:t>
      </w:r>
      <w:r w:rsidRPr="00EA2C95">
        <w:rPr>
          <w:rFonts w:ascii="Bookman Old Style" w:eastAsia="Bookman Old Style" w:hAnsi="Bookman Old Style" w:cs="Bookman Old Style"/>
          <w:color w:val="000000"/>
          <w:sz w:val="22"/>
          <w:szCs w:val="22"/>
        </w:rPr>
        <w:lastRenderedPageBreak/>
        <w:t>1774 de 2016, que adicionó el artículo 339A al Código Penal, por considerar que es ambigua. La Corte, amparada en el concepto de “tipo penal en blanco” declara exequible la norma, pero profundiza en el deber de protección de los animales, reconociendo incluso la posibilidad de que les sean predicables algunos derechos que, evidentemente, no podrán ser equiparables a los de los seres humanos.</w:t>
      </w:r>
    </w:p>
    <w:p w14:paraId="40180E2B"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75E451C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Al respecto, refiere el Alto Tribunal lo siguiente:</w:t>
      </w:r>
    </w:p>
    <w:p w14:paraId="5322F891"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FA6BD72"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Aunque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 cual puede llevar a la Corte a hacer visible lo que a primera vista no se avizora en la Constitución. Además, con independencia de la clasificación de los derechos en el tiempo (generacionales), forman una unidad por cuanto son interdependientes, integrales y universales.</w:t>
      </w:r>
    </w:p>
    <w:p w14:paraId="3ABEB866"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41B4EFCE"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Siendo este Tribunal el intérprete autorizado de la Carta Política (art. 241), tiene una función encomiable de hacer cierta para la realidad del Derecho la inclusión de los animales como titulares de ciertos derechos,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55608801"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734E63DB"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Erradicar la subalternidad hacia los animales se constituye en un claro y preciso derrotero de la sociedad actual</w:t>
      </w:r>
      <w:r w:rsidRPr="00EA2C95">
        <w:rPr>
          <w:rFonts w:ascii="Bookman Old Style" w:eastAsia="Bookman Old Style" w:hAnsi="Bookman Old Style" w:cs="Bookman Old Style"/>
          <w:i/>
          <w:color w:val="000000"/>
          <w:sz w:val="22"/>
          <w:szCs w:val="22"/>
          <w:vertAlign w:val="superscript"/>
        </w:rPr>
        <w:footnoteReference w:id="10"/>
      </w:r>
      <w:r w:rsidRPr="00EA2C95">
        <w:rPr>
          <w:rFonts w:ascii="Bookman Old Style" w:eastAsia="Bookman Old Style" w:hAnsi="Bookman Old Style" w:cs="Bookman Old Style"/>
          <w:i/>
          <w:color w:val="000000"/>
          <w:sz w:val="22"/>
          <w:szCs w:val="22"/>
        </w:rPr>
        <w:t>.”</w:t>
      </w:r>
    </w:p>
    <w:p w14:paraId="2159AC11"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082AC40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lastRenderedPageBreak/>
        <w:t>Siguiendo esta línea y, frente al argumento en virtud del cual no es posible reconocerles derechos a los animales en tanto no pueden reclamarlos por sí mismo, la Corte manifiesta que:</w:t>
      </w:r>
    </w:p>
    <w:p w14:paraId="6BAFB8DA"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F5381C0"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Una lógica de lo razonable permite comprender que el hecho de que los animales no puedan reclamar directamente un buen trato o el respeto por sus derechos, no significa que deba prescindirse de su garantía. Su condición de indefensión haría forzosa la figura de la representación o agencia humana, pudiendo ser un instrumento efectivo las acciones populares o incluso la acción de tutela, mientras se establece la regulación.</w:t>
      </w:r>
    </w:p>
    <w:p w14:paraId="51A574A5"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w:t>
      </w:r>
    </w:p>
    <w:p w14:paraId="5378CC3C"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Los animales no son individuos idénticos a los humanos y no tienen </w:t>
      </w:r>
      <w:proofErr w:type="spellStart"/>
      <w:r w:rsidRPr="00EA2C95">
        <w:rPr>
          <w:rFonts w:ascii="Bookman Old Style" w:eastAsia="Bookman Old Style" w:hAnsi="Bookman Old Style" w:cs="Bookman Old Style"/>
          <w:i/>
          <w:color w:val="000000"/>
          <w:sz w:val="22"/>
          <w:szCs w:val="22"/>
        </w:rPr>
        <w:t>porqu</w:t>
      </w:r>
      <w:r w:rsidRPr="00EA2C95">
        <w:rPr>
          <w:rFonts w:ascii="Bookman Old Style" w:eastAsia="Bookman Old Style" w:hAnsi="Bookman Old Style" w:cs="Bookman Old Style"/>
          <w:i/>
          <w:sz w:val="22"/>
          <w:szCs w:val="22"/>
        </w:rPr>
        <w:t>e</w:t>
      </w:r>
      <w:proofErr w:type="spellEnd"/>
      <w:r w:rsidRPr="00EA2C95">
        <w:rPr>
          <w:rFonts w:ascii="Bookman Old Style" w:eastAsia="Bookman Old Style" w:hAnsi="Bookman Old Style" w:cs="Bookman Old Style"/>
          <w:i/>
          <w:color w:val="000000"/>
          <w:sz w:val="22"/>
          <w:szCs w:val="22"/>
        </w:rPr>
        <w:t xml:space="preserve"> serlo. La Constitución preserva las especies -humanas y no humanas- como parte del entorno ecológico, pero también es posible extraer su protección como individuos al disponer de variadas y similares capacidades y niveles de raciocinio. De las interacciones que los humanos tienen con los demás seres vivos es claro que hacemos parte del mismo ecosistema compartiendo análogas y diferentes necesidades básicas, que no se reducen a la condición de seres vivos y sintientes.</w:t>
      </w:r>
    </w:p>
    <w:p w14:paraId="5C400205"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E9A6D0F"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bookmarkStart w:id="2" w:name="_heading=h.1fob9te" w:colFirst="0" w:colLast="0"/>
      <w:bookmarkEnd w:id="2"/>
      <w:r w:rsidRPr="00EA2C95">
        <w:rPr>
          <w:rFonts w:ascii="Bookman Old Style" w:eastAsia="Bookman Old Style" w:hAnsi="Bookman Old Style" w:cs="Bookman Old Style"/>
          <w:i/>
          <w:color w:val="000000"/>
          <w:sz w:val="22"/>
          <w:szCs w:val="22"/>
        </w:rPr>
        <w:t>Desterrar toda concepción de vida mecánica y sin racionalidad respecto de los animales permite encausarlos dentro del sentido amplio de persona. Susan Hurley</w:t>
      </w:r>
      <w:hyperlink r:id="rId13" w:anchor="_ftn142">
        <w:r w:rsidRPr="00EA2C95">
          <w:rPr>
            <w:rFonts w:ascii="Bookman Old Style" w:eastAsia="Bookman Old Style" w:hAnsi="Bookman Old Style" w:cs="Bookman Old Style"/>
            <w:i/>
            <w:color w:val="000000"/>
            <w:sz w:val="22"/>
            <w:szCs w:val="22"/>
          </w:rPr>
          <w:t>[142]</w:t>
        </w:r>
      </w:hyperlink>
      <w:r w:rsidRPr="00EA2C95">
        <w:rPr>
          <w:rFonts w:ascii="Bookman Old Style" w:eastAsia="Bookman Old Style" w:hAnsi="Bookman Old Style" w:cs="Bookman Old Style"/>
          <w:i/>
          <w:color w:val="000000"/>
          <w:sz w:val="22"/>
          <w:szCs w:val="22"/>
        </w:rPr>
        <w:t> recoge la idea que este Tribunal busca transmitir en esta decisión: "El interés en si los animales son agentes racionales no requiere que la racionalidad tenga una unidad profunda o que todos sus aspectos puedan ser comparados en un solo espectro; es un interés en varias maneras específicas en que las capacidades de los animales pueden ser continuas así como discontinuas con las nuestras”.</w:t>
      </w:r>
    </w:p>
    <w:p w14:paraId="255699DD"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w:t>
      </w:r>
    </w:p>
    <w:p w14:paraId="06597CB8"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En conclusión, la dogmática dinámica y evolutiva impone avanzar con mecanismos más decisivos para la efectividad de los intereses de los animales, al disponer hoy de nuevos estudios científicos y mayores saberes. Es un imperativo repensar posibles horizontes y transformar las sedimentadas tradiciones cuando socavan intereses vitales y primarios de toda sociedad democrática y constitucional.</w:t>
      </w:r>
    </w:p>
    <w:p w14:paraId="3212529F"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03F864F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color w:val="000000"/>
          <w:sz w:val="22"/>
          <w:szCs w:val="22"/>
        </w:rPr>
        <w:t xml:space="preserve">Esta es tal vez la decisión más relevante en cuanto a la protección de los animales pues va más allá del reconocimiento legal y jurisprudencial de su calidad de seres sintientes, para reconocer la posibilidad de que sean declarados verdaderos sujetos </w:t>
      </w:r>
      <w:r w:rsidRPr="00EA2C95">
        <w:rPr>
          <w:rFonts w:ascii="Bookman Old Style" w:eastAsia="Bookman Old Style" w:hAnsi="Bookman Old Style" w:cs="Bookman Old Style"/>
          <w:color w:val="000000"/>
          <w:sz w:val="22"/>
          <w:szCs w:val="22"/>
        </w:rPr>
        <w:lastRenderedPageBreak/>
        <w:t xml:space="preserve">de derechos, con unos límites que permitan distinguirlos de aquellos reconocidos a los seres humanos.  </w:t>
      </w:r>
    </w:p>
    <w:p w14:paraId="6B4560D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FA0280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Del anterior recuento jurisprudencial, es dable afirmar hoy que existen un conjunto de criterios claros con relación a la protección animal, que deben ser tenidos en cuenta por el legislador, así: </w:t>
      </w:r>
    </w:p>
    <w:p w14:paraId="1E2BDF1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141B6E8C"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Existe un deber constitucional y moral de evitar sufrimiento a los animales, motivo por el cual, en diversos momentos, el Legislador ha establecido sanciones a aquellas personas que causen daños físicos a los “animales no humanos”. </w:t>
      </w:r>
    </w:p>
    <w:p w14:paraId="7B6CB2DE"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416EFD4"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 regla general del comportamiento humano frente a la naturaleza (incluida la fauna y la flora), es el de cuidado y protección. En esa medida, la Ley no puede contener conductas que representen actos de crueldad para con los animales.</w:t>
      </w:r>
    </w:p>
    <w:p w14:paraId="4EFB512F" w14:textId="77777777" w:rsidR="00756FAE" w:rsidRPr="00EA2C95" w:rsidRDefault="00756FA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A66689E"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De las disposiciones constitucionales surgen obligaciones que condicionan el comportamiento de los seres humanos y que conllevan al respeto de los animales, de forma que los operadores del derecho (ya sean legisladores, jueces o funcionarios de la administración) tienen la obligación de tener en cuenta, dentro de sus actuaciones, la dignidad de los animales no humanos en tanto seres sintientes.  </w:t>
      </w:r>
    </w:p>
    <w:p w14:paraId="65C8487E"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4F91F478"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El Deber de protección refleja un contenido de moral política y conciencia de la responsabilidad que deben tener los seres humanos respecto de los </w:t>
      </w:r>
      <w:r w:rsidRPr="00EA2C95">
        <w:rPr>
          <w:rFonts w:ascii="Bookman Old Style" w:eastAsia="Bookman Old Style" w:hAnsi="Bookman Old Style" w:cs="Bookman Old Style"/>
          <w:i/>
          <w:color w:val="000000"/>
          <w:sz w:val="22"/>
          <w:szCs w:val="22"/>
        </w:rPr>
        <w:t>otros</w:t>
      </w:r>
      <w:r w:rsidRPr="00EA2C95">
        <w:rPr>
          <w:rFonts w:ascii="Bookman Old Style" w:eastAsia="Bookman Old Style" w:hAnsi="Bookman Old Style" w:cs="Bookman Old Style"/>
          <w:color w:val="000000"/>
          <w:sz w:val="22"/>
          <w:szCs w:val="22"/>
        </w:rPr>
        <w:t xml:space="preserve"> seres vivos y sintientes. </w:t>
      </w:r>
    </w:p>
    <w:p w14:paraId="2D5C929C"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53713D8B"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Ha de tomarse en cuenta la existencia de parámetros de obligatorio cumplimiento por el legislador, quien ya no tendrá plena libertad de opción respecto del tipo, alcance, amplitud o naturaleza de la protección que cree respecto de los animales, sino que, en cuanto poder constituido, se encuentra vinculado por el </w:t>
      </w:r>
      <w:r w:rsidRPr="00EA2C95">
        <w:rPr>
          <w:rFonts w:ascii="Bookman Old Style" w:eastAsia="Bookman Old Style" w:hAnsi="Bookman Old Style" w:cs="Bookman Old Style"/>
          <w:i/>
          <w:color w:val="000000"/>
          <w:sz w:val="22"/>
          <w:szCs w:val="22"/>
        </w:rPr>
        <w:t>deber constitucional</w:t>
      </w:r>
      <w:r w:rsidRPr="00EA2C95">
        <w:rPr>
          <w:rFonts w:ascii="Bookman Old Style" w:eastAsia="Bookman Old Style" w:hAnsi="Bookman Old Style" w:cs="Bookman Old Style"/>
          <w:color w:val="000000"/>
          <w:sz w:val="22"/>
          <w:szCs w:val="22"/>
        </w:rPr>
        <w:t xml:space="preserve"> previsto en los artículos 8º, 79 y 95.8, y el concepto de dignidad humana (fundamento de las relaciones que un ser sintiente –humano- tiene con otro ser sintiente –animal-). En esa medida, el Congreso está llamado a establecer un sistema jurídico de protección que garantice la integridad de los animales en cuanto seres sintientes, e incluso podría hablarse de un eventual reconocimiento de los animales como sujetos de derechos, que hacen parte del contexto natural en el que las personas desarrollan su vida.</w:t>
      </w:r>
    </w:p>
    <w:p w14:paraId="3A52D34A"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168096E7"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lastRenderedPageBreak/>
        <w:t xml:space="preserve">El tratamiento que las personas brindan a los animales se encuentra restringido y regido por el principio de </w:t>
      </w:r>
      <w:r w:rsidRPr="00EA2C95">
        <w:rPr>
          <w:rFonts w:ascii="Bookman Old Style" w:eastAsia="Bookman Old Style" w:hAnsi="Bookman Old Style" w:cs="Bookman Old Style"/>
          <w:i/>
          <w:color w:val="000000"/>
          <w:sz w:val="22"/>
          <w:szCs w:val="22"/>
        </w:rPr>
        <w:t>bienestar animal</w:t>
      </w:r>
      <w:r w:rsidRPr="00EA2C95">
        <w:rPr>
          <w:rFonts w:ascii="Bookman Old Style" w:eastAsia="Bookman Old Style" w:hAnsi="Bookman Old Style" w:cs="Bookman Old Style"/>
          <w:color w:val="000000"/>
          <w:sz w:val="22"/>
          <w:szCs w:val="22"/>
          <w:vertAlign w:val="superscript"/>
        </w:rPr>
        <w:footnoteReference w:id="11"/>
      </w:r>
      <w:r w:rsidRPr="00EA2C95">
        <w:rPr>
          <w:rFonts w:ascii="Bookman Old Style" w:eastAsia="Bookman Old Style" w:hAnsi="Bookman Old Style" w:cs="Bookman Old Style"/>
          <w:color w:val="000000"/>
          <w:sz w:val="22"/>
          <w:szCs w:val="22"/>
        </w:rPr>
        <w:t xml:space="preserve">, el cual se sustenta en el concepto complejo y amplio de ambiente, que debe superar una visión utilitarista y antropocéntrica, para centrarse en una que comprenda no solo al ser humano como parte de un todo natural donde los animales también son fines en sí mismos con intereses propios e independientes del arbitrio humano. </w:t>
      </w:r>
    </w:p>
    <w:p w14:paraId="5E29C74D"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03CFB556"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El ejercicio de las diversas expresiones culturales debe estar en armonía con los otros valores, derechos y principios fundamentales que integran el sistema constitucional colombiano. </w:t>
      </w:r>
    </w:p>
    <w:p w14:paraId="526C47FB"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1F125AAD"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Las distintas manifestaciones culturales</w:t>
      </w:r>
      <w:r w:rsidRPr="00EA2C95">
        <w:rPr>
          <w:rFonts w:ascii="Bookman Old Style" w:eastAsia="Bookman Old Style" w:hAnsi="Bookman Old Style" w:cs="Bookman Old Style"/>
          <w:i/>
          <w:color w:val="000000"/>
          <w:sz w:val="22"/>
          <w:szCs w:val="22"/>
        </w:rPr>
        <w:t xml:space="preserve"> no son una expresión directa de la Constitución</w:t>
      </w:r>
      <w:r w:rsidRPr="00EA2C95">
        <w:rPr>
          <w:rFonts w:ascii="Bookman Old Style" w:eastAsia="Bookman Old Style" w:hAnsi="Bookman Old Style" w:cs="Bookman Old Style"/>
          <w:color w:val="000000"/>
          <w:sz w:val="22"/>
          <w:szCs w:val="22"/>
        </w:rPr>
        <w:t xml:space="preserve">, sino fruto de la interacción de los distintos actores sociales determinados por un tiempo y un espacio específicos.  Por ende, no puede entenderse que, </w:t>
      </w:r>
      <w:r w:rsidRPr="00EA2C95">
        <w:rPr>
          <w:rFonts w:ascii="Bookman Old Style" w:eastAsia="Bookman Old Style" w:hAnsi="Bookman Old Style" w:cs="Bookman Old Style"/>
          <w:i/>
          <w:color w:val="000000"/>
          <w:sz w:val="22"/>
          <w:szCs w:val="22"/>
        </w:rPr>
        <w:t>en sí mismas consideradas</w:t>
      </w:r>
      <w:r w:rsidRPr="00EA2C95">
        <w:rPr>
          <w:rFonts w:ascii="Bookman Old Style" w:eastAsia="Bookman Old Style" w:hAnsi="Bookman Old Style" w:cs="Bookman Old Style"/>
          <w:color w:val="000000"/>
          <w:sz w:val="22"/>
          <w:szCs w:val="22"/>
        </w:rPr>
        <w:t>, esas manifestaciones sean concreción de postulados constitucionales, ni que cuenten con blindaje alguno que impida su limitación o incluso su prohibición, por ser contrarias a los valores sociales y constitucionales.</w:t>
      </w:r>
    </w:p>
    <w:p w14:paraId="1E2D674E"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4EE0E79D"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El Legislador, en ejercicio de su libertad de configuración normativa, puede prohibir las manifestaciones culturales que implican maltrato animal, si considera que debe primar el deber de protección de la fauna sobre la existencia de expresiones culturales que </w:t>
      </w:r>
      <w:r w:rsidRPr="00EA2C95">
        <w:rPr>
          <w:rFonts w:ascii="Bookman Old Style" w:eastAsia="Bookman Old Style" w:hAnsi="Bookman Old Style" w:cs="Bookman Old Style"/>
          <w:i/>
          <w:color w:val="000000"/>
          <w:sz w:val="22"/>
          <w:szCs w:val="22"/>
        </w:rPr>
        <w:t>implican agravio a seres vivos</w:t>
      </w:r>
    </w:p>
    <w:p w14:paraId="2522486E" w14:textId="77777777" w:rsidR="00756FAE" w:rsidRPr="00EA2C95" w:rsidRDefault="00756FA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2F4167FF" w14:textId="77777777" w:rsidR="00756FAE" w:rsidRPr="00EA2C95" w:rsidRDefault="00EA2C95">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La Constitución de 1991 y las leyes no son estáticas y pueden, y deben, cambiar para adaptarse a las nuevas realidades sociales.  </w:t>
      </w:r>
    </w:p>
    <w:p w14:paraId="7B3F78C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4D094DA6" w14:textId="312D12FF" w:rsidR="00756FAE" w:rsidRPr="00EA2C95" w:rsidRDefault="00B61382">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5</w:t>
      </w:r>
      <w:r w:rsidR="00EA2C95" w:rsidRPr="00EA2C95">
        <w:rPr>
          <w:rFonts w:ascii="Bookman Old Style" w:eastAsia="Bookman Old Style" w:hAnsi="Bookman Old Style" w:cs="Bookman Old Style"/>
          <w:b/>
          <w:color w:val="000000"/>
          <w:sz w:val="22"/>
          <w:szCs w:val="22"/>
        </w:rPr>
        <w:t>.3. INTERNACIONALES.</w:t>
      </w:r>
    </w:p>
    <w:p w14:paraId="78F4ADB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5DBA6D6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Ahora bien, planteados los antecedentes normativos y jurisprudenciales locales, vale la pena revisar el tratamiento que se le ha otorgado a las prácticas culturales de las que trata este proyecto y a otras actividades que implican el uso de los animales, en otros países.</w:t>
      </w:r>
    </w:p>
    <w:p w14:paraId="5404BDF2"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4F7D477"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Como resultado de un conjunto de variables, entre ellas, cambios de paradigmas sociales y cambio de conciencia colectiva, los espectáculos con animales están siendo objeto de prohibiciones locales y nacionales progresivamente en muchos países del mundo, así como la eliminación de actividades tradicionales que conllevan maltrato o crueldad hacia los animales, teniendo en cuenta que la defensa de la vida está por encima de prácticas culturales. Los estados han hecho </w:t>
      </w:r>
      <w:r w:rsidRPr="00EA2C95">
        <w:rPr>
          <w:rFonts w:ascii="Bookman Old Style" w:eastAsia="Bookman Old Style" w:hAnsi="Bookman Old Style" w:cs="Bookman Old Style"/>
          <w:color w:val="000000"/>
          <w:sz w:val="22"/>
          <w:szCs w:val="22"/>
        </w:rPr>
        <w:lastRenderedPageBreak/>
        <w:t>uso concomitante del poder legislativo, ejecutivo y judicial, para expedir fuentes de derecho de carácter vinculante y de obligatorio cumplimiento para ponerle fin a este tipo de espectáculos.</w:t>
      </w:r>
    </w:p>
    <w:p w14:paraId="429EB41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5D70C96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Países como Inglaterra, Italia, Argentina, Chile, Bolivia, Perú, China, entre muchos otros, han prohibido prácticas tradicionales como la caza, circos, fiestas religiosas o consumos de productos por considerarse que son una práctica violenta donde el maltrato animal es evidente.</w:t>
      </w:r>
    </w:p>
    <w:p w14:paraId="4AEB3A7A"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D2F2DC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Sobre este asunto, vale la pena recordar el recuento realizado por la Sentencia C-283 de 2014, en la que resalta las legislaciones de Suecia, Dinamarca, Estonia, República Checa, Israel, Finlandia, Polonia, Singapur, India, Costa Rica, Nueva Zelanda, Austria, Bélgica, Portugal, Bolivia, Noruega, Panamá, Perú y Paraguay, que han prohibido el uso de animales en circos. </w:t>
      </w:r>
    </w:p>
    <w:p w14:paraId="55FC858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39C9D5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Para el caso de la tauromaquia esta es prohibida en la mayoría de países del planeta. Solamente ocho países, España, Francia, Portugal, México, Venezuela, Perú, Ecuador y Colombia, mantienen la realización de corridas de toros en los cuales existe un fuerte trabajo en pos de su abolición.</w:t>
      </w:r>
    </w:p>
    <w:p w14:paraId="3A4DA72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012E0CE" w14:textId="3E0750BF" w:rsidR="00756FAE" w:rsidRPr="00EA2C95" w:rsidRDefault="00B61382">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5</w:t>
      </w:r>
      <w:r w:rsidR="00EA2C95" w:rsidRPr="00EA2C95">
        <w:rPr>
          <w:rFonts w:ascii="Bookman Old Style" w:eastAsia="Bookman Old Style" w:hAnsi="Bookman Old Style" w:cs="Bookman Old Style"/>
          <w:b/>
          <w:color w:val="000000"/>
          <w:sz w:val="22"/>
          <w:szCs w:val="22"/>
        </w:rPr>
        <w:t>.4. CIENTÍFICOS</w:t>
      </w:r>
      <w:r>
        <w:rPr>
          <w:rFonts w:ascii="Bookman Old Style" w:eastAsia="Bookman Old Style" w:hAnsi="Bookman Old Style" w:cs="Bookman Old Style"/>
          <w:b/>
          <w:color w:val="000000"/>
          <w:sz w:val="22"/>
          <w:szCs w:val="22"/>
        </w:rPr>
        <w:t>.</w:t>
      </w:r>
    </w:p>
    <w:p w14:paraId="7F4723E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6739A31E" w14:textId="174FE3B9"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.4.1. Lo que dice la ciencia veterinaria sobre las corridas de toros</w:t>
      </w:r>
    </w:p>
    <w:p w14:paraId="2933B14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F25DD6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 Asociación de Veterinarios Abolicionistas de la Tauromaquia (</w:t>
      </w:r>
      <w:proofErr w:type="spellStart"/>
      <w:r w:rsidRPr="00EA2C95">
        <w:rPr>
          <w:rFonts w:ascii="Bookman Old Style" w:eastAsia="Bookman Old Style" w:hAnsi="Bookman Old Style" w:cs="Bookman Old Style"/>
          <w:color w:val="000000"/>
          <w:sz w:val="22"/>
          <w:szCs w:val="22"/>
        </w:rPr>
        <w:t>Avatma</w:t>
      </w:r>
      <w:proofErr w:type="spellEnd"/>
      <w:r w:rsidRPr="00EA2C95">
        <w:rPr>
          <w:rFonts w:ascii="Bookman Old Style" w:eastAsia="Bookman Old Style" w:hAnsi="Bookman Old Style" w:cs="Bookman Old Style"/>
          <w:color w:val="000000"/>
          <w:sz w:val="22"/>
          <w:szCs w:val="22"/>
        </w:rPr>
        <w:t xml:space="preserve">) (2016), en particular su “Informe técnico veterinario sobre los espectáculos taurinos con vacas y vaquillas”, afirma: </w:t>
      </w:r>
    </w:p>
    <w:p w14:paraId="2AAB4049"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6CE0D22"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i/>
          <w:color w:val="000000"/>
          <w:sz w:val="22"/>
          <w:szCs w:val="22"/>
        </w:rPr>
        <w:t xml:space="preserve">“A los toros, vaquillas y becerros que protagonizan estos festejos se les ingieren daños graves. El origen de ese daño procede de las manipulaciones, transporte, aislamiento, hambre, y sed a que son sometidos, partiendo de que, el simple hecho de sacarlos de su ambiente natural, provoca en ellos una intensa sensación de miedo que provoca respuestas orgánicas que pasarán de ser fisiológicas a patológicas, dada su incapacidad para adaptarse a estas nuevas situaciones, que son incompatibles con su naturaleza y que se realizan en entornos para ellos desconocidos. A las situaciones anómalas mencionadas anteriormente habrá que sumar como origen de ese daño, la persecución, la incapacidad de huida, las agresiones, así como el continuo acosamiento al que se ven sometidos  por parte de las personas que acuden a estos espectáculos. La existencia fehaciente del daño la basamos en la visualización de las imágenes que nos llevan a concluir que si se realizarán determinaciones de ACTH, cortisol y catecolaminas en </w:t>
      </w:r>
      <w:r w:rsidRPr="00EA2C95">
        <w:rPr>
          <w:rFonts w:ascii="Bookman Old Style" w:eastAsia="Bookman Old Style" w:hAnsi="Bookman Old Style" w:cs="Bookman Old Style"/>
          <w:i/>
          <w:color w:val="000000"/>
          <w:sz w:val="22"/>
          <w:szCs w:val="22"/>
        </w:rPr>
        <w:lastRenderedPageBreak/>
        <w:t>estos animales estaríamos ante cifras alarmantes que superarían con creces lo considerado como normal, basándonos en los estudios científicos realizados sobre animales de sus mismas razas sometidos a situaciones de estrés bastante similares a los espectáculos a los que nos referimos, e incluso a situaciones que en teoría podríamos considerar como menos perniciosas para su salud y bienestar. Todo esto nos lleva a concluir la existencia fehaciente de un sufrimiento físico y psíquico gratuito, sin ningún fin que podamos considerar de interés general o que lo pueda justificar”</w:t>
      </w:r>
      <w:r w:rsidRPr="00EA2C95">
        <w:rPr>
          <w:rFonts w:ascii="Bookman Old Style" w:eastAsia="Bookman Old Style" w:hAnsi="Bookman Old Style" w:cs="Bookman Old Style"/>
          <w:i/>
          <w:color w:val="000000"/>
          <w:sz w:val="22"/>
          <w:szCs w:val="22"/>
          <w:vertAlign w:val="superscript"/>
        </w:rPr>
        <w:footnoteReference w:id="12"/>
      </w:r>
      <w:r w:rsidRPr="00EA2C95">
        <w:rPr>
          <w:rFonts w:ascii="Bookman Old Style" w:eastAsia="Bookman Old Style" w:hAnsi="Bookman Old Style" w:cs="Bookman Old Style"/>
          <w:color w:val="000000"/>
          <w:sz w:val="22"/>
          <w:szCs w:val="22"/>
        </w:rPr>
        <w:t xml:space="preserve"> </w:t>
      </w:r>
    </w:p>
    <w:p w14:paraId="29DA984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4211E910" w14:textId="273F750F"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.4.2. Sobre la invalidez de las regulaciones en la actividad taurina y la negativa a las denominadas “Corridas incruentas</w:t>
      </w:r>
      <w:r w:rsidR="00EA2C95" w:rsidRPr="00EA2C95">
        <w:rPr>
          <w:rFonts w:ascii="Bookman Old Style" w:eastAsia="Bookman Old Style" w:hAnsi="Bookman Old Style" w:cs="Bookman Old Style"/>
          <w:color w:val="000000"/>
          <w:sz w:val="22"/>
          <w:szCs w:val="22"/>
        </w:rPr>
        <w:t>”.</w:t>
      </w:r>
    </w:p>
    <w:p w14:paraId="4426E6E6"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2374E876"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Las corridas de toros no solo implican la violencia física que se muestra evidente, hacia los animales involucrados. Es necesario tener en cuenta el sufrimiento emocional o psicológico que conlleva para estos animales el ser partícipes obligados de esta actividad.</w:t>
      </w:r>
    </w:p>
    <w:p w14:paraId="5706C7B7"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A2890F2"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El etólogo español Jordi </w:t>
      </w:r>
      <w:proofErr w:type="spellStart"/>
      <w:r w:rsidRPr="00EA2C95">
        <w:rPr>
          <w:rFonts w:ascii="Bookman Old Style" w:eastAsia="Bookman Old Style" w:hAnsi="Bookman Old Style" w:cs="Bookman Old Style"/>
          <w:color w:val="000000"/>
          <w:sz w:val="22"/>
          <w:szCs w:val="22"/>
        </w:rPr>
        <w:t>Casamitjana</w:t>
      </w:r>
      <w:proofErr w:type="spellEnd"/>
      <w:r w:rsidRPr="00EA2C95">
        <w:rPr>
          <w:rFonts w:ascii="Bookman Old Style" w:eastAsia="Bookman Old Style" w:hAnsi="Bookman Old Style" w:cs="Bookman Old Style"/>
          <w:color w:val="000000"/>
          <w:sz w:val="22"/>
          <w:szCs w:val="22"/>
        </w:rPr>
        <w:t xml:space="preserve"> (2012)</w:t>
      </w:r>
      <w:r w:rsidRPr="00EA2C95">
        <w:rPr>
          <w:rFonts w:ascii="Bookman Old Style" w:eastAsia="Bookman Old Style" w:hAnsi="Bookman Old Style" w:cs="Bookman Old Style"/>
          <w:color w:val="000000"/>
          <w:sz w:val="22"/>
          <w:szCs w:val="22"/>
          <w:vertAlign w:val="superscript"/>
        </w:rPr>
        <w:footnoteReference w:id="13"/>
      </w:r>
      <w:r w:rsidRPr="00EA2C95">
        <w:rPr>
          <w:rFonts w:ascii="Bookman Old Style" w:eastAsia="Bookman Old Style" w:hAnsi="Bookman Old Style" w:cs="Bookman Old Style"/>
          <w:color w:val="000000"/>
          <w:sz w:val="22"/>
          <w:szCs w:val="22"/>
        </w:rPr>
        <w:t>, desarrolló un completo informe sobre todas las formas de maltrato, violencia y crueldad presentes en las corridas de toros, denominado “La Crueldad de las corridas incruentas”. Sobre el tema específico del sufrimiento emocional de los toros en las corridas, el informe sugiere que no existe algo como las corridas incruentas, que solo han intentado vender al público una imagen de la tauromaquia más políticamente correcta.</w:t>
      </w:r>
    </w:p>
    <w:p w14:paraId="414D691C"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1C61EC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 sola presencia del toro en una plaza ya involucra grandes niveles de maltrato emocional o sufrimiento psicológico para el animal, evidenciados en la incomodidad del animal por su cautiverio, el miedo ante un ambiente ajeno respecto al que está acostumbrado, la angustia por la experiencia aversiva vivida, y el estrés continuado para el que biológicamente no está dotado para responder adecuadamente.</w:t>
      </w:r>
    </w:p>
    <w:p w14:paraId="38989130"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006BBC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Este tipo de sufrimiento psicológico, es todavía más común en el caso de las corridas “incruentas” en las que el toro sobrevive el espectáculo y o bien se le sacrifica unos días más tarde donde el estrés se va acumulando (como en muchas corridas al estilo portugués), o se le vuelve a hacer pasar por el mismo calvario varias veces con posterioridad, incluso durante el resto de su vida (como en las corridas autóctonas francesas).</w:t>
      </w:r>
    </w:p>
    <w:p w14:paraId="2D5F6763"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00E187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lastRenderedPageBreak/>
        <w:t xml:space="preserve">De acuerdo </w:t>
      </w:r>
      <w:r w:rsidRPr="00EA2C95">
        <w:rPr>
          <w:rFonts w:ascii="Bookman Old Style" w:eastAsia="Bookman Old Style" w:hAnsi="Bookman Old Style" w:cs="Bookman Old Style"/>
          <w:sz w:val="22"/>
          <w:szCs w:val="22"/>
        </w:rPr>
        <w:t>con lo anterior</w:t>
      </w:r>
      <w:r w:rsidRPr="00EA2C95">
        <w:rPr>
          <w:rFonts w:ascii="Bookman Old Style" w:eastAsia="Bookman Old Style" w:hAnsi="Bookman Old Style" w:cs="Bookman Old Style"/>
          <w:color w:val="000000"/>
          <w:sz w:val="22"/>
          <w:szCs w:val="22"/>
        </w:rPr>
        <w:t xml:space="preserve">, es posible concluir que las evidencias veterinarias y etológicas, evidencian que el maltrato a los toros y caballos es inevitable en cualquier tipo de corrida.  </w:t>
      </w:r>
    </w:p>
    <w:p w14:paraId="77CE0684"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5DCDC02" w14:textId="47CB41FF" w:rsidR="00756FAE" w:rsidRPr="00EA2C95" w:rsidRDefault="00B61382">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5</w:t>
      </w:r>
      <w:r w:rsidR="00EA2C95" w:rsidRPr="00EA2C95">
        <w:rPr>
          <w:rFonts w:ascii="Bookman Old Style" w:eastAsia="Bookman Old Style" w:hAnsi="Bookman Old Style" w:cs="Bookman Old Style"/>
          <w:b/>
          <w:color w:val="000000"/>
          <w:sz w:val="22"/>
          <w:szCs w:val="22"/>
        </w:rPr>
        <w:t>.5. PSICOSOCIALES</w:t>
      </w:r>
      <w:r>
        <w:rPr>
          <w:rFonts w:ascii="Bookman Old Style" w:eastAsia="Bookman Old Style" w:hAnsi="Bookman Old Style" w:cs="Bookman Old Style"/>
          <w:b/>
          <w:color w:val="000000"/>
          <w:sz w:val="22"/>
          <w:szCs w:val="22"/>
        </w:rPr>
        <w:t>.</w:t>
      </w:r>
    </w:p>
    <w:p w14:paraId="74F0FB7C"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BECBE2E" w14:textId="4ECE63D1"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 xml:space="preserve">.5.1. El toreo y su impacto negativo sobre la infancia </w:t>
      </w:r>
    </w:p>
    <w:p w14:paraId="2448C78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171C21B9"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 Ley 1098 del 2006 “Código de Infancia y Adolescencia”, trae un cúmulo de garantías que buscan hacer realidad el mandato constitucional de la prevalencia de los derechos de los niños, las niñas y los adolescentes. En este sentido, exige que la protección estatal debe ser máxima para posibilitar que, en un futuro, nuestros menores cuenten con un entorno sostenible, o por lo menos con una fauna y flora que cuidar.</w:t>
      </w:r>
    </w:p>
    <w:p w14:paraId="2D468435"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54AC27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En este sentido, la Convención para los Derechos de los Niños de la ONU, en su informe de observaciones para Colombia del 4 de febrero de 2015</w:t>
      </w:r>
      <w:r w:rsidRPr="00EA2C95">
        <w:rPr>
          <w:rFonts w:ascii="Bookman Old Style" w:eastAsia="Bookman Old Style" w:hAnsi="Bookman Old Style" w:cs="Bookman Old Style"/>
          <w:color w:val="000000"/>
          <w:sz w:val="22"/>
          <w:szCs w:val="22"/>
          <w:vertAlign w:val="superscript"/>
        </w:rPr>
        <w:footnoteReference w:id="14"/>
      </w:r>
      <w:r w:rsidRPr="00EA2C95">
        <w:rPr>
          <w:rFonts w:ascii="Bookman Old Style" w:eastAsia="Bookman Old Style" w:hAnsi="Bookman Old Style" w:cs="Bookman Old Style"/>
          <w:color w:val="000000"/>
          <w:sz w:val="22"/>
          <w:szCs w:val="22"/>
        </w:rPr>
        <w:t xml:space="preserve">, recomendó, entre otras, proteger a los niños y niñas de la violencia de la tauromaquia, aspectos que deben ser tenidos en cuenta en el país, señalando de manera puntual: </w:t>
      </w:r>
    </w:p>
    <w:p w14:paraId="20132793"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9E1EBCD"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i/>
          <w:color w:val="000000"/>
          <w:sz w:val="22"/>
          <w:szCs w:val="22"/>
        </w:rPr>
        <w:t>Apartado D. Violencia en contra de los niños (arts. 19, 24, párr.3, 28, párr. 2, 34, 37 (a) y 39)</w:t>
      </w:r>
    </w:p>
    <w:p w14:paraId="0B1FD032"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E82D4E5"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Libertad de los niños contra toda forma de violencia</w:t>
      </w:r>
    </w:p>
    <w:p w14:paraId="5C2E4103"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7580F889"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27. El Comité está profundamente preocupado por los altos niveles de violencia al que se enfrentan los niños, y en particular, sobre: </w:t>
      </w:r>
    </w:p>
    <w:p w14:paraId="6FCBA7E9"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72F5977E"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2C1B4BC"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f) </w:t>
      </w:r>
      <w:r w:rsidRPr="00EA2C95">
        <w:rPr>
          <w:rFonts w:ascii="Bookman Old Style" w:eastAsia="Bookman Old Style" w:hAnsi="Bookman Old Style" w:cs="Bookman Old Style"/>
          <w:i/>
          <w:color w:val="000000"/>
          <w:sz w:val="22"/>
          <w:szCs w:val="22"/>
          <w:u w:val="single"/>
        </w:rPr>
        <w:t>El bienestar físico y mental de los niños que participan en la formación/entrenamiento de la tauromaquia, y las actuaciones asociadas a ella, así como el bienestar mental y emocional de los niños espectadores que están expuestos a la violencia de la tauromaquia</w:t>
      </w:r>
      <w:r w:rsidRPr="00EA2C95">
        <w:rPr>
          <w:rFonts w:ascii="Bookman Old Style" w:eastAsia="Bookman Old Style" w:hAnsi="Bookman Old Style" w:cs="Bookman Old Style"/>
          <w:i/>
          <w:color w:val="000000"/>
          <w:sz w:val="22"/>
          <w:szCs w:val="22"/>
        </w:rPr>
        <w:t xml:space="preserve">. </w:t>
      </w:r>
    </w:p>
    <w:p w14:paraId="6C3F62CA"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6BDDF0F"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28. A la luz de la Observación general Nº 13 (2011) sobre el “Derecho del niño a no ser objeto de ninguna forma de violencia” y recordando las recomendaciones del estudio de las Naciones Unidas sobre la violencia en contra de los niños de 2006 (A/61/299), el Comité insta al Estado Parte a dar prioridad a la </w:t>
      </w:r>
      <w:r w:rsidRPr="00EA2C95">
        <w:rPr>
          <w:rFonts w:ascii="Bookman Old Style" w:eastAsia="Bookman Old Style" w:hAnsi="Bookman Old Style" w:cs="Bookman Old Style"/>
          <w:i/>
          <w:color w:val="000000"/>
          <w:sz w:val="22"/>
          <w:szCs w:val="22"/>
          <w:u w:val="single"/>
        </w:rPr>
        <w:t>eliminación de todas las formas de violencia en contra de los niños</w:t>
      </w:r>
      <w:r w:rsidRPr="00EA2C95">
        <w:rPr>
          <w:rFonts w:ascii="Bookman Old Style" w:eastAsia="Bookman Old Style" w:hAnsi="Bookman Old Style" w:cs="Bookman Old Style"/>
          <w:i/>
          <w:color w:val="000000"/>
          <w:sz w:val="22"/>
          <w:szCs w:val="22"/>
        </w:rPr>
        <w:t xml:space="preserve">, y en particular a: </w:t>
      </w:r>
    </w:p>
    <w:p w14:paraId="4D233012"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lastRenderedPageBreak/>
        <w:t>(…)</w:t>
      </w:r>
    </w:p>
    <w:p w14:paraId="59F7F269"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81B981D"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i) Con el objetivo de </w:t>
      </w:r>
      <w:r w:rsidRPr="00EA2C95">
        <w:rPr>
          <w:rFonts w:ascii="Bookman Old Style" w:eastAsia="Bookman Old Style" w:hAnsi="Bookman Old Style" w:cs="Bookman Old Style"/>
          <w:i/>
          <w:color w:val="000000"/>
          <w:sz w:val="22"/>
          <w:szCs w:val="22"/>
          <w:u w:val="single"/>
        </w:rPr>
        <w:t>prohibir la participación de los niños en la tauromaquia</w:t>
      </w:r>
      <w:r w:rsidRPr="00EA2C95">
        <w:rPr>
          <w:rFonts w:ascii="Bookman Old Style" w:eastAsia="Bookman Old Style" w:hAnsi="Bookman Old Style" w:cs="Bookman Old Style"/>
          <w:i/>
          <w:color w:val="000000"/>
          <w:sz w:val="22"/>
          <w:szCs w:val="22"/>
        </w:rPr>
        <w:t xml:space="preserve">, incluyendo las corralejas, </w:t>
      </w:r>
      <w:r w:rsidRPr="00EA2C95">
        <w:rPr>
          <w:rFonts w:ascii="Bookman Old Style" w:eastAsia="Bookman Old Style" w:hAnsi="Bookman Old Style" w:cs="Bookman Old Style"/>
          <w:i/>
          <w:color w:val="000000"/>
          <w:sz w:val="22"/>
          <w:szCs w:val="22"/>
          <w:u w:val="single"/>
        </w:rPr>
        <w:t>tome las medidas legislativas y administrativas</w:t>
      </w:r>
      <w:r w:rsidRPr="00EA2C95">
        <w:rPr>
          <w:rFonts w:ascii="Bookman Old Style" w:eastAsia="Bookman Old Style" w:hAnsi="Bookman Old Style" w:cs="Bookman Old Style"/>
          <w:i/>
          <w:color w:val="000000"/>
          <w:sz w:val="22"/>
          <w:szCs w:val="22"/>
        </w:rPr>
        <w:t xml:space="preserve"> necesarias con el fin de proteger a todos los niños que participan en la formación/entrenamiento y actuaciones en la tauromaquia, así como en su condición de espectadores, y a sensibilizar sobre la violencia física y mental asociada a la tauromaquia y su impacto en los niños. </w:t>
      </w:r>
    </w:p>
    <w:p w14:paraId="75A74E93"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2E7E4687"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H. Medidas de protección especial (Artículos 22, 30, 32-33, 36, 37 (b)-(d), 38, 39 y 40))</w:t>
      </w:r>
    </w:p>
    <w:p w14:paraId="3D647CE3"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317F41E"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Explotación económica, incluido el trabajo infantil</w:t>
      </w:r>
    </w:p>
    <w:p w14:paraId="58FD1311"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7FD149CA"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i/>
          <w:color w:val="000000"/>
          <w:sz w:val="22"/>
          <w:szCs w:val="22"/>
        </w:rPr>
        <w:t xml:space="preserve">59. La explotación económica, incluido el trabajo infantil. El Comité toma nota de las medidas jurídicas y normativas adoptadas por el Estado parte para proteger a los niños de la explotación económica. Sin embargo, está preocupado por el elevado número de niños involucrados en el trabajo infantil. En particular, sigue profundamente preocupado por la participación persistente de niños en trabajos peligrosos y/o degradantes, como las labores agrícolas en los cultivos ilícitos, el narcotráfico, la minería ilegal y </w:t>
      </w:r>
      <w:r w:rsidRPr="00EA2C95">
        <w:rPr>
          <w:rFonts w:ascii="Bookman Old Style" w:eastAsia="Bookman Old Style" w:hAnsi="Bookman Old Style" w:cs="Bookman Old Style"/>
          <w:i/>
          <w:color w:val="000000"/>
          <w:sz w:val="22"/>
          <w:szCs w:val="22"/>
          <w:u w:val="single"/>
        </w:rPr>
        <w:t>la tauromaquia</w:t>
      </w:r>
      <w:r w:rsidRPr="00EA2C95">
        <w:rPr>
          <w:rFonts w:ascii="Bookman Old Style" w:eastAsia="Bookman Old Style" w:hAnsi="Bookman Old Style" w:cs="Bookman Old Style"/>
          <w:color w:val="000000"/>
          <w:sz w:val="22"/>
          <w:szCs w:val="22"/>
        </w:rPr>
        <w:t xml:space="preserve">”. (subrayado fuera de texto) </w:t>
      </w:r>
    </w:p>
    <w:p w14:paraId="1B08C9B0"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B2E2FC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Por ello, el psicólogo Carlos Crespo (2017) afirma que la tauromaquia normaliza la violencia en la infancia que es llevada a estos espectáculos, sobre el particular, anota:</w:t>
      </w:r>
    </w:p>
    <w:p w14:paraId="75EC43D4"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3F307FE"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i/>
          <w:color w:val="000000"/>
          <w:sz w:val="22"/>
          <w:szCs w:val="22"/>
        </w:rPr>
        <w:t>La afición a la tauromaquia no es un proceso natural sino aprendido. Los niños y niñas en sus más tempranas etapas de desarrollo, aprenden a valorar la tauromaquia por medio del aprendizaje por observación. Las familias taurinas enseñan a sus hijos a valorar por medio de la atención selectiva, elementos y estímulos externos a la lidia del toro (la música, la comida, la vestimenta, la arquitectura de la plaza, etc.).</w:t>
      </w:r>
    </w:p>
    <w:p w14:paraId="1D864503"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43123E3C"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Cuando la infancia es llevada a una corrida de toros por primera vez se enfrenta a una disonancia cognitiva, producto de sus más probables reacciones de empatía hacia el otro animal y rechazo hacia lo que le ocurre al animal en el ruedo (Siendo un estímulo aversivo) frente a la observación de las conductas de aprobación del evento por parte de sus padres, figuras de autoridad e identificación.</w:t>
      </w:r>
    </w:p>
    <w:p w14:paraId="2DEA5BD7"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2D20AFE"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Cuando las familias llevan a sus hijos de manera continua a las corridas de toros, estos comienzan a valorar y priorizar los elementos de la tauromaquia (los que habían aprendido más otros nuevos, como el carácter de figura de los toreros, los tercios, los pases y en general, los clásicos argumentos taurinos como que es tradición, cultura, arte, rito, etc.)  y a dar menor importancia a lo que les ocurre a los animales (A los que solo valoran en cuanto a su utilidad en medio de la actividad). Estos elementos actúan como reforzadores y forjadores de sus conductas a favor de la tauromaquia produciéndose el proceso psicológico conocido como desensibilización sistemática que hace que el niño o la niña normalice progresivamente la violencia hacia toros y caballos en el contexto de la lidia, eliminando cualquier sentimiento negativo o aversivo a lo que le ocurre a estos últimos.</w:t>
      </w:r>
    </w:p>
    <w:p w14:paraId="1EFC7B7B"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719E2EB"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i/>
          <w:color w:val="000000"/>
          <w:sz w:val="22"/>
          <w:szCs w:val="22"/>
        </w:rPr>
        <w:t>Normalizar actos de violencia no es positivo ni compatible con una sociedad que busca consolidar un proceso de paz y por ello, educar a la infancia, para que no habitúe los refuerzos asociados a la tauromaquia y se desensibilice frente a lo que le ocurre al animal. Así mismo, se debe educar a la sociedad en general en el respeto hacia toda forma de vida sintiente, haciendo esto un imperativo moral que debe tener efectos legales. El fenómeno de la violencia debe ser combatida en todas sus formas de manera integral, no solamente en el contexto antropocéntrico</w:t>
      </w: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color w:val="000000"/>
          <w:sz w:val="22"/>
          <w:szCs w:val="22"/>
          <w:vertAlign w:val="superscript"/>
        </w:rPr>
        <w:footnoteReference w:id="15"/>
      </w:r>
    </w:p>
    <w:p w14:paraId="172324E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3A4C1327"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En consecuencia, es un imperativo, como Estado y sociedad, adoptar las medidas necesarias encaminadas a erradicar toda forma de violencia que pueda afectar la formación integral de la infancia, promoviendo, por el contrario, el respeto hacia todas las manifestaciones de vida y la no violencia.  </w:t>
      </w:r>
    </w:p>
    <w:p w14:paraId="13879976"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5416F29F" w14:textId="02E168AC"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.5.2. La convivencia se ve afectada con este tipo de actividades</w:t>
      </w:r>
    </w:p>
    <w:p w14:paraId="0F66A4C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6FCCA9D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La tauromaquia ha sido controversial desde sus inicios. En el caso colombiano, las expresiones públicas de rechazo a estas actividades no son nuevas. Rodolfo Kohn Olaya publicó un libro en 1952: </w:t>
      </w:r>
      <w:r w:rsidRPr="00EA2C95">
        <w:rPr>
          <w:rFonts w:ascii="Bookman Old Style" w:eastAsia="Bookman Old Style" w:hAnsi="Bookman Old Style" w:cs="Bookman Old Style"/>
          <w:i/>
          <w:color w:val="000000"/>
          <w:sz w:val="22"/>
          <w:szCs w:val="22"/>
        </w:rPr>
        <w:t>De la Impía tauromaquia y su corruptor influjo - Significativos datos para un balance de la cultura en Colombia</w:t>
      </w:r>
      <w:r w:rsidRPr="00EA2C95">
        <w:rPr>
          <w:rFonts w:ascii="Bookman Old Style" w:eastAsia="Bookman Old Style" w:hAnsi="Bookman Old Style" w:cs="Bookman Old Style"/>
          <w:color w:val="000000"/>
          <w:sz w:val="22"/>
          <w:szCs w:val="22"/>
        </w:rPr>
        <w:t xml:space="preserve">, convirtiéndose en pionero de una nueva forma de relación más respetuosa entre humanos y demás animales, que ha venido en constante crecimiento. La sociedad colombiana cuenta en el presente con un amplio consenso ciudadano sobre la necesidad de abolir la tauromaquia, como expresión de maltrato gratuito, e injustificado, que ha dado pie </w:t>
      </w:r>
      <w:r w:rsidRPr="00EA2C95">
        <w:rPr>
          <w:rFonts w:ascii="Bookman Old Style" w:eastAsia="Bookman Old Style" w:hAnsi="Bookman Old Style" w:cs="Bookman Old Style"/>
          <w:color w:val="000000"/>
          <w:sz w:val="22"/>
          <w:szCs w:val="22"/>
        </w:rPr>
        <w:lastRenderedPageBreak/>
        <w:t>a una creciente insatisfacción por la imposición legal de su continuidad, que entes gubernamentales como el Ministerio del Interior, en la exposición de motivos del proyecto de ley 271 de 2017, refirieron como un problema de convivencia ciudadana que debe ser solucionado, exponiendo.</w:t>
      </w:r>
    </w:p>
    <w:p w14:paraId="199D138C"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A03A55F"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i/>
          <w:color w:val="000000"/>
          <w:sz w:val="22"/>
          <w:szCs w:val="22"/>
        </w:rPr>
        <w:t>Si estamos erradicando la violencia en nuestro país, debemos empezar a construir una sociedad basada en el respeto a la vida y a los demás; así mismo avanzar en la dirección más humanitaria de otros países que han eliminado la tortura de seres sintientes como espectáculo. La eliminación de prácticas como la tauromaquia, se correspondería con la promoción del desarrollo de valores deseables en la sociedad como del respeto hacia el otro, constituyéndose, así como una de tantas estrategias para superar la violencia, insolidaridad y crueldad por razones injustificables y, de paso, contribuir a garantizar la no repetición de la guerra, superar la violencia, insolidaridad y crueldad y de paso garantizar la no repetición de la guerra</w:t>
      </w:r>
      <w:r w:rsidRPr="00EA2C95">
        <w:rPr>
          <w:rFonts w:ascii="Bookman Old Style" w:eastAsia="Bookman Old Style" w:hAnsi="Bookman Old Style" w:cs="Bookman Old Style"/>
          <w:color w:val="000000"/>
          <w:sz w:val="22"/>
          <w:szCs w:val="22"/>
        </w:rPr>
        <w:t>”.</w:t>
      </w:r>
    </w:p>
    <w:p w14:paraId="38EBFA3D"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4FEBD000" w14:textId="43E6F99E"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.5.3. Pertinencia social</w:t>
      </w:r>
    </w:p>
    <w:p w14:paraId="249761A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b/>
          <w:i/>
          <w:color w:val="000000"/>
          <w:sz w:val="22"/>
          <w:szCs w:val="22"/>
        </w:rPr>
      </w:pPr>
    </w:p>
    <w:p w14:paraId="5E8ADCD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Desde las mesas de trabajo realizadas en el marco del proyecto de Ley anterior, radicado por el Ministerio del Interior, hasta el sector que representa a los defensores de animales, se  manifestó la necesidad de desarrollar un plan para apoyar laboralmente a quienes comprueben que su estabilidad económica depende únicamente de la actividad taurina, como una mecanismo efectivo y concreto de sustitución y reconversión laboral, emulando ejemplos exitosos como el de las familias que vivían de los vehículos de tracción animal, desarrollados en ciudades como Medellín, Manizales, Cali y Bogotá, entre otras.</w:t>
      </w:r>
    </w:p>
    <w:p w14:paraId="10484B9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40891EB3"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Este proceso de sustitución laboral es fundamental para cerrar la brecha social que impacta en Colombia, dado que tradicionalmente quienes trabajan en el sector taurino, carecen de plenas garantías laborales como las debe tener cualquier trabajador formal, máxime cuando es un trabajo ocasional con un alto riesgo a la integridad física. Es común ver las quejas del sector de los toreros, banderilleros, mozos de espadas, </w:t>
      </w:r>
      <w:proofErr w:type="spellStart"/>
      <w:r w:rsidRPr="00EA2C95">
        <w:rPr>
          <w:rFonts w:ascii="Bookman Old Style" w:eastAsia="Bookman Old Style" w:hAnsi="Bookman Old Style" w:cs="Bookman Old Style"/>
          <w:color w:val="000000"/>
          <w:sz w:val="22"/>
          <w:szCs w:val="22"/>
        </w:rPr>
        <w:t>etc</w:t>
      </w:r>
      <w:proofErr w:type="spellEnd"/>
      <w:r w:rsidRPr="00EA2C95">
        <w:rPr>
          <w:rFonts w:ascii="Bookman Old Style" w:eastAsia="Bookman Old Style" w:hAnsi="Bookman Old Style" w:cs="Bookman Old Style"/>
          <w:color w:val="000000"/>
          <w:sz w:val="22"/>
          <w:szCs w:val="22"/>
        </w:rPr>
        <w:t xml:space="preserve">, por el abandono en cuestiones sociales, de salud y pensionales en el que se encuentran. </w:t>
      </w:r>
    </w:p>
    <w:p w14:paraId="676B8501"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2DA583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 abolición del toreo da pie a crear nuevas economías creativas y alternativas, donde se mantenga la historia de la tauromaquia por medio de la museología, la gastronomía, la música y otras expresiones, sin tapar el contenido estético que para algunos pueda tener, ni mucho menos olvidarlo como inspiración a numerosas piezas del arte.</w:t>
      </w:r>
    </w:p>
    <w:p w14:paraId="2D783D6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78D8946C"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lastRenderedPageBreak/>
        <w:t>Así mismo las Plazas de Toros, como ha sucedido en muchas partes del mundo, se pueden convertir en epicentros de prácticas circenses, comerciales y sociales. Una Plaza de éstas es el espacio ideal para una galería comercial, que puede ser administrada por quienes antes vivían de las corridas de toros, con la diferencia que con este nuevo eje económico sí tendrían estabilidad laboral con todas las garantías que todo ciudadano debe tener. Son numerosos los ejemplos de reconversión de plazas de toros en otro tipo de espacios para fines diferentes a la explotación animal: La plaza de toros de las arenas en Barcelona (España), es un centro comercial, la antigua plaza de toros en Zacatecas (México) es ahora un hotel, en Caracas (Venezuela), su plaza de toros se convirtió en el nuevo circo de Caracas, escenario para el arte y la cultura. Finalmente, en Colombia la plaza de Santamaría fue durante cinco años escenario para espectáculos artísticos, deportivos y culturales. Los últimos ejemplos en Colombia, los ofrecen la población de Toledo en Norte de Santander, cuya plaza de toros será convertida en Coso municipal destinado a la atención y el bienestar animal; la Plaza de la Serrezuela en Cartagena, convertida en Centro Comercial; la Plaza de Armenia, con amplias discusiones y propuestas sobre su transformación y nuevo uso (como vivero, mariposario, teatro al aire libre o deportivo), y finalmente, la plaza Cesar Rincón de Duitama, que ahora se llamará plaza de todos Arena Mancipe, Centro cultural y deportivo.</w:t>
      </w:r>
    </w:p>
    <w:p w14:paraId="27C2E4A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ACB9AFC"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005A317" w14:textId="30232CE1"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.5.4. Aspectos bioéticos: El deber de no maleficencia</w:t>
      </w:r>
    </w:p>
    <w:p w14:paraId="234E98C7"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947C1A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 defensa de la vida e integridad de un ser sintiente debe estar por encima de la defensa de la cultura o la tradición. De acuerdo al Psicólogo y Magíster en Bioética Carlos Crespo (2013):</w:t>
      </w:r>
    </w:p>
    <w:p w14:paraId="70DD7983"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B8B7FDC"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i/>
          <w:color w:val="000000"/>
          <w:sz w:val="22"/>
          <w:szCs w:val="22"/>
        </w:rPr>
        <w:t xml:space="preserve">el principio de no maleficencia es considerado el principio base mínimo. La no maleficencia obliga a no dañar intencionalmente a los demás, a respetar a los demás, a no hacer daño entendido como no herir ni física o moralmente. La importancia de este principio está dada en cuanto asegura la vida e integridad física de los individuos, su supervivencia, asegurando que no se será dañado, ya sea por ejecución de una acción dañina, o la omisión de una acción que debió hacerse para evitar el daño. </w:t>
      </w:r>
    </w:p>
    <w:p w14:paraId="31B52311"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0D0F1EAB" w14:textId="77777777" w:rsidR="00756FAE" w:rsidRPr="00EA2C95" w:rsidRDefault="00EA2C95">
      <w:pPr>
        <w:pBdr>
          <w:top w:val="nil"/>
          <w:left w:val="nil"/>
          <w:bottom w:val="nil"/>
          <w:right w:val="nil"/>
          <w:between w:val="nil"/>
        </w:pBdr>
        <w:ind w:left="851" w:right="900"/>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No es necesario relatar los elementos de una corrida de toros para saber que este principio está siendo violado…</w:t>
      </w: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color w:val="000000"/>
          <w:sz w:val="22"/>
          <w:szCs w:val="22"/>
          <w:vertAlign w:val="superscript"/>
        </w:rPr>
        <w:footnoteReference w:id="16"/>
      </w:r>
      <w:r w:rsidRPr="00EA2C95">
        <w:rPr>
          <w:rFonts w:ascii="Bookman Old Style" w:eastAsia="Bookman Old Style" w:hAnsi="Bookman Old Style" w:cs="Bookman Old Style"/>
          <w:color w:val="000000"/>
          <w:sz w:val="22"/>
          <w:szCs w:val="22"/>
        </w:rPr>
        <w:br/>
      </w:r>
    </w:p>
    <w:p w14:paraId="1818314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lastRenderedPageBreak/>
        <w:t xml:space="preserve">No es necesario relatar los elementos de una corrida de toros para saber que este principio está siendo violado…El no hacer daño a otro es una obligación moral” </w:t>
      </w:r>
    </w:p>
    <w:p w14:paraId="7327629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48FED124" w14:textId="16D967D1"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.5.5. El sector taurino no es una minoría vulnerable</w:t>
      </w:r>
    </w:p>
    <w:p w14:paraId="72AA1D3A"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330416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La población taurina ha buscado ser protegida en sus gustos y libertades como una minoría. Sin embargo, no pueden ser considerados una minoría constitucionalmente protegida. Sobre este aspecto, Carlos Crespo afirmó (2017): </w:t>
      </w:r>
    </w:p>
    <w:p w14:paraId="6D4974F7"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6190731"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i/>
          <w:color w:val="000000"/>
          <w:sz w:val="22"/>
          <w:szCs w:val="22"/>
        </w:rPr>
        <w:t>Se ha considerado minoría a aquellos grupos poblacionales que han sufrido la discriminación, el sometimiento, la violencia, de manera histórica y sistemática, y que a pesar de virtuales avances en el discurso de DDHH por la equidad, siguen siendo segregados y no teniendo acceso igualitario a los derechos básicos y al desarrollo de capacidades en la sociedad, tornándolos en poblaciones vulnerables que deben ser protegidas por el estado o por sus comunidades, emitiendo por ejemplo políticas públicas, leyes, etc., que garanticen sus vidas, integridad y desarrollo, así como el equilibrio de su posición desfavorable en la sociedad.</w:t>
      </w:r>
    </w:p>
    <w:p w14:paraId="7935BD16"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1DA3F07A"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Ejemplo de estas comunidades son las personas afros, indígenas, LGBTI, desplazadas, exiliadas, refugiadas, habitantes de calle, personas en ejercicio de prostitución, personas con discapacidades y desde hace un tiempo, también se ha ampliado el concepto a los animales no humanos. Las grandes desigualdades sociales y el aniquilamiento de las poblaciones vulnerables han dado paso a la protección no solo de sus derechos básicos sino a la ampliación de la protección a sus cosmovisiones, formas de vida, usos y costumbres. Una minoría, entendida como población vulnerable no siempre tiene que ver con números. Las mujeres son mayoría en el planeta pero hacen parte de las poblaciones vulnerables desde su posición desfavorable y desigual en la sociedad. La infancia y las personas mayores son otro ejemplo de ello. Eso quiere decir que se protegen las poblaciones por sus características de vulnerabilidad, no por ser pocas en términos numéricos. Son estas las minorías con las que toda la población debe solidarizarse y eliminar todo tipo de discriminación.</w:t>
      </w:r>
    </w:p>
    <w:p w14:paraId="354D38FC"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6E8FEC04"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i/>
          <w:color w:val="000000"/>
          <w:sz w:val="22"/>
          <w:szCs w:val="22"/>
        </w:rPr>
        <w:t xml:space="preserve">Es en el sentido estricto de minorías protegidas constitucionalmente, que se puede afirmar de manera tajante que los taurinos NO son una minoría, y que a pesar de que pueden ser asumidos como tal de manera numérica, son un grupo de interés sin ningún derecho especial a proteger más allá de otros grupos de interés como los </w:t>
      </w:r>
      <w:r w:rsidRPr="00EA2C95">
        <w:rPr>
          <w:rFonts w:ascii="Bookman Old Style" w:eastAsia="Bookman Old Style" w:hAnsi="Bookman Old Style" w:cs="Bookman Old Style"/>
          <w:i/>
          <w:color w:val="000000"/>
          <w:sz w:val="22"/>
          <w:szCs w:val="22"/>
        </w:rPr>
        <w:lastRenderedPageBreak/>
        <w:t>aficionados a un equipo de fútbol o el club de fans de un grupo musical</w:t>
      </w:r>
      <w:r w:rsidRPr="00EA2C95">
        <w:rPr>
          <w:rFonts w:ascii="Bookman Old Style" w:eastAsia="Bookman Old Style" w:hAnsi="Bookman Old Style" w:cs="Bookman Old Style"/>
          <w:color w:val="000000"/>
          <w:sz w:val="22"/>
          <w:szCs w:val="22"/>
        </w:rPr>
        <w:t>”.</w:t>
      </w:r>
      <w:r w:rsidRPr="00EA2C95">
        <w:rPr>
          <w:rFonts w:ascii="Bookman Old Style" w:eastAsia="Bookman Old Style" w:hAnsi="Bookman Old Style" w:cs="Bookman Old Style"/>
          <w:color w:val="000000"/>
          <w:sz w:val="22"/>
          <w:szCs w:val="22"/>
          <w:vertAlign w:val="superscript"/>
        </w:rPr>
        <w:footnoteReference w:id="17"/>
      </w:r>
    </w:p>
    <w:p w14:paraId="225E58CE"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8819A59" w14:textId="497ADC6B" w:rsidR="00756FAE" w:rsidRPr="00EA2C95" w:rsidRDefault="00E56BBC">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5</w:t>
      </w:r>
      <w:r w:rsidR="00EA2C95" w:rsidRPr="00EA2C95">
        <w:rPr>
          <w:rFonts w:ascii="Bookman Old Style" w:eastAsia="Bookman Old Style" w:hAnsi="Bookman Old Style" w:cs="Bookman Old Style"/>
          <w:color w:val="000000"/>
          <w:sz w:val="22"/>
          <w:szCs w:val="22"/>
          <w:u w:val="single"/>
        </w:rPr>
        <w:t>.5.6. Sobre el argumento de que las corridas de toros son arte</w:t>
      </w:r>
    </w:p>
    <w:p w14:paraId="3F0B150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733BA4A"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El afamado artista, director y actor de cine y teatro Fabio Rubiano (2017), rechaza que las corridas de toros sean consideradas una expresión artística. Sobre el particular afirma:</w:t>
      </w:r>
    </w:p>
    <w:p w14:paraId="067E7A8F"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color w:val="000000"/>
          <w:sz w:val="22"/>
          <w:szCs w:val="22"/>
        </w:rPr>
        <w:t xml:space="preserve"> </w:t>
      </w:r>
    </w:p>
    <w:p w14:paraId="3D3072FA"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“Uno de los argumentos más poderosos de los taurinos es cuando hacen referencia a los grandes artistas que han generado obras de arte a partir de esa práctica: Picasso, Botero, Miró, Buñuel, Hemingway. Parten para sus creaciones de la plasticidad dancística del banderillero, de la presencia mítica del toro (la continua referencia al minotauro), o de lo atractivo de la pasión suicida de un torero.</w:t>
      </w:r>
    </w:p>
    <w:p w14:paraId="06B7AF0D"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4FC32B1C"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A partir de un acto de barbarie se han creado muchas obras de arte, lo cual es muy diferente a decir que un acto de barbarie sea asumido como una expresión artística. Algún artista posmoderno ha puesto a un perro a morir de hambre como acción estética, y algún otro ha mutilado pollos en una galería. Para mí, dichas acciones aparte de ser crueles son vacías.</w:t>
      </w:r>
    </w:p>
    <w:p w14:paraId="0D59C384"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47AE5979"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Al final de una de las funciones de la obra Labio de liebre que hicimos en México, se hizo un foro. Como el que se acostumbraba a hacer en Colombia en los años 60 y 70. La obra gira alrededor de algunos de los muchos episodios de las atrocidades que nos deja la guerra en nuestro país. El público expresaba su conmoción por lo que se acababa de contar, gente del Perú, de México, de Estados Unidos; pero hubo una señora colombiana que dijo lo que muchas veces escuchamos de nuestros compatriotas: ¿Por qué habiendo tantas cosas buenas en Colombia se va a otros países a hablar de lo malo?</w:t>
      </w:r>
    </w:p>
    <w:p w14:paraId="06AB4B7B"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747B5CF6" w14:textId="77777777" w:rsidR="00756FAE" w:rsidRPr="00EA2C95" w:rsidRDefault="00756FA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3BAA3ACF" w14:textId="77777777" w:rsidR="00756FAE" w:rsidRPr="00EA2C95" w:rsidRDefault="00EA2C95">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En el martirio no hay arte, solo dolor. El arte es lo más alejado que existe de la muerte”.</w:t>
      </w:r>
      <w:r w:rsidRPr="00EA2C95">
        <w:rPr>
          <w:rFonts w:ascii="Bookman Old Style" w:eastAsia="Bookman Old Style" w:hAnsi="Bookman Old Style" w:cs="Bookman Old Style"/>
          <w:i/>
          <w:color w:val="000000"/>
          <w:sz w:val="22"/>
          <w:szCs w:val="22"/>
          <w:vertAlign w:val="superscript"/>
        </w:rPr>
        <w:footnoteReference w:id="18"/>
      </w:r>
    </w:p>
    <w:p w14:paraId="0C9EF157" w14:textId="77777777" w:rsidR="00756FAE" w:rsidRPr="00EA2C95" w:rsidRDefault="00756FAE">
      <w:pPr>
        <w:pBdr>
          <w:top w:val="nil"/>
          <w:left w:val="nil"/>
          <w:bottom w:val="nil"/>
          <w:right w:val="nil"/>
          <w:between w:val="nil"/>
        </w:pBdr>
        <w:rPr>
          <w:rFonts w:ascii="Bookman Old Style" w:eastAsia="Bookman Old Style" w:hAnsi="Bookman Old Style" w:cs="Bookman Old Style"/>
          <w:color w:val="000000"/>
          <w:sz w:val="22"/>
          <w:szCs w:val="22"/>
        </w:rPr>
      </w:pPr>
    </w:p>
    <w:p w14:paraId="489D5DCA" w14:textId="1E9C4B89" w:rsidR="00756FAE" w:rsidRPr="00EA2C95" w:rsidRDefault="00E56BBC">
      <w:pPr>
        <w:pBdr>
          <w:top w:val="nil"/>
          <w:left w:val="nil"/>
          <w:bottom w:val="nil"/>
          <w:right w:val="nil"/>
          <w:between w:val="nil"/>
        </w:pBd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5</w:t>
      </w:r>
      <w:r w:rsidR="00EA2C95" w:rsidRPr="00EA2C95">
        <w:rPr>
          <w:rFonts w:ascii="Bookman Old Style" w:eastAsia="Bookman Old Style" w:hAnsi="Bookman Old Style" w:cs="Bookman Old Style"/>
          <w:b/>
          <w:color w:val="000000"/>
          <w:sz w:val="22"/>
          <w:szCs w:val="22"/>
        </w:rPr>
        <w:t>.6</w:t>
      </w:r>
      <w:r>
        <w:rPr>
          <w:rFonts w:ascii="Bookman Old Style" w:eastAsia="Bookman Old Style" w:hAnsi="Bookman Old Style" w:cs="Bookman Old Style"/>
          <w:b/>
          <w:color w:val="000000"/>
          <w:sz w:val="22"/>
          <w:szCs w:val="22"/>
        </w:rPr>
        <w:t>.</w:t>
      </w:r>
      <w:r w:rsidR="00EA2C95" w:rsidRPr="00EA2C95">
        <w:rPr>
          <w:rFonts w:ascii="Bookman Old Style" w:eastAsia="Bookman Old Style" w:hAnsi="Bookman Old Style" w:cs="Bookman Old Style"/>
          <w:b/>
          <w:color w:val="000000"/>
          <w:sz w:val="22"/>
          <w:szCs w:val="22"/>
        </w:rPr>
        <w:t xml:space="preserve"> ECONÓMICOS</w:t>
      </w:r>
      <w:r>
        <w:rPr>
          <w:rFonts w:ascii="Bookman Old Style" w:eastAsia="Bookman Old Style" w:hAnsi="Bookman Old Style" w:cs="Bookman Old Style"/>
          <w:b/>
          <w:color w:val="000000"/>
          <w:sz w:val="22"/>
          <w:szCs w:val="22"/>
        </w:rPr>
        <w:t>.</w:t>
      </w:r>
    </w:p>
    <w:p w14:paraId="5823D749" w14:textId="77777777" w:rsidR="00756FAE" w:rsidRPr="00EA2C95" w:rsidRDefault="00756FAE">
      <w:pPr>
        <w:pBdr>
          <w:top w:val="nil"/>
          <w:left w:val="nil"/>
          <w:bottom w:val="nil"/>
          <w:right w:val="nil"/>
          <w:between w:val="nil"/>
        </w:pBdr>
        <w:rPr>
          <w:rFonts w:ascii="Bookman Old Style" w:eastAsia="Bookman Old Style" w:hAnsi="Bookman Old Style" w:cs="Bookman Old Style"/>
          <w:color w:val="000000"/>
          <w:sz w:val="22"/>
          <w:szCs w:val="22"/>
        </w:rPr>
      </w:pPr>
    </w:p>
    <w:p w14:paraId="7207019B"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La Fundación Colectivo Identidad Animal realiza desde el año 2018 hasta la fecha, una investigación denominada “</w:t>
      </w:r>
      <w:r w:rsidRPr="00EA2C95">
        <w:rPr>
          <w:rFonts w:ascii="Bookman Old Style" w:eastAsia="Bookman Old Style" w:hAnsi="Bookman Old Style" w:cs="Bookman Old Style"/>
          <w:i/>
          <w:color w:val="000000"/>
          <w:sz w:val="22"/>
          <w:szCs w:val="22"/>
        </w:rPr>
        <w:t>El Impacto de la Tauromaquia en la ciudad de Manizales, Caldas</w:t>
      </w:r>
      <w:r w:rsidRPr="00EA2C95">
        <w:rPr>
          <w:rFonts w:ascii="Bookman Old Style" w:eastAsia="Bookman Old Style" w:hAnsi="Bookman Old Style" w:cs="Bookman Old Style"/>
          <w:i/>
          <w:color w:val="000000"/>
          <w:sz w:val="22"/>
          <w:szCs w:val="22"/>
          <w:vertAlign w:val="superscript"/>
        </w:rPr>
        <w:footnoteReference w:id="19"/>
      </w:r>
      <w:r w:rsidRPr="00EA2C95">
        <w:rPr>
          <w:rFonts w:ascii="Bookman Old Style" w:eastAsia="Bookman Old Style" w:hAnsi="Bookman Old Style" w:cs="Bookman Old Style"/>
          <w:color w:val="000000"/>
          <w:sz w:val="22"/>
          <w:szCs w:val="22"/>
        </w:rPr>
        <w:t>”, que demuestra que si se logra la abolición de las corridas de toros, la feria de Manizales no sufrirá ningún impacto económico significativo. Un resumen de este informe es el siguiente:</w:t>
      </w:r>
    </w:p>
    <w:p w14:paraId="11D57B57" w14:textId="77777777" w:rsidR="00756FAE" w:rsidRPr="00EA2C95" w:rsidRDefault="00756FAE">
      <w:pPr>
        <w:pBdr>
          <w:top w:val="nil"/>
          <w:left w:val="nil"/>
          <w:bottom w:val="nil"/>
          <w:right w:val="nil"/>
          <w:between w:val="nil"/>
        </w:pBdr>
        <w:rPr>
          <w:rFonts w:ascii="Bookman Old Style" w:eastAsia="Bookman Old Style" w:hAnsi="Bookman Old Style" w:cs="Bookman Old Style"/>
          <w:color w:val="000000"/>
          <w:sz w:val="22"/>
          <w:szCs w:val="22"/>
        </w:rPr>
      </w:pPr>
    </w:p>
    <w:p w14:paraId="45E97EF7"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Hace más de 60 años se realizan eventos taurinos celebrados en el marco anual de la Feria de Manizales, sin embargo, la gran cantidad de eventos que actualmente tiene esta actividad ferial supera la parte taurina; el presente estudio tuvo como fin investigar el impacto económico y social de esta festividad, haciendo especial énfasis en el turismo, la ocupación hotelera versus la asistencia a las corridas, se realizó un análisis cuantitativo en donde se comparó el comportamiento fluctuante de las anteriores variables. </w:t>
      </w:r>
    </w:p>
    <w:p w14:paraId="29B892B6"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8E126D0"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De la misma manera se han analizado las utilidades de la Feria, las cuales se comportan de forma positiva y en ascenso, con el fin de tener una base comparativa para sustentar los paralelos económicos de diferentes situaciones. </w:t>
      </w:r>
    </w:p>
    <w:p w14:paraId="609AB31B"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9D5FFD5"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El turismo asegura ingresos y reconocimiento a esta actividad ferial con impacto en la ocupación hotelera. Al comparar la ocupación hotelera con la asistencia a la temporada taurina, se presentaron en todos los años comportamientos indirectamente proporcionales. Los hoteles se declararon en crisis en 2019, mientras los asistentes a la plaza aumentaban en más de 12.000. Actualmente el sector hotelero presentó una baja de solo 1.54% en su ocupación versus el gremio taurino que perdió </w:t>
      </w:r>
      <w:r w:rsidRPr="00EA2C95">
        <w:rPr>
          <w:color w:val="000000"/>
          <w:sz w:val="22"/>
          <w:szCs w:val="22"/>
        </w:rPr>
        <w:t xml:space="preserve">17.805 </w:t>
      </w:r>
      <w:r w:rsidRPr="00EA2C95">
        <w:rPr>
          <w:rFonts w:ascii="Bookman Old Style" w:eastAsia="Bookman Old Style" w:hAnsi="Bookman Old Style" w:cs="Bookman Old Style"/>
          <w:color w:val="000000"/>
          <w:sz w:val="22"/>
          <w:szCs w:val="22"/>
        </w:rPr>
        <w:t>asistentes, comparándolos con el año anterior a la crisis pandémica.</w:t>
      </w:r>
    </w:p>
    <w:p w14:paraId="11C44CDF"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2C5CD38"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Adicionalmente, se hace mención del Festival Internacional de Teatro y cómo su capacidad de atracción cultural y turística establece una alternativa de ingresos e internacionalización de la ciudad. </w:t>
      </w:r>
    </w:p>
    <w:p w14:paraId="695EBEC0"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2C8AAAE" w14:textId="77777777"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Una vez recopilados los datos estadísticos de las diferentes fuentes de información, se puede concluir que: la variación de la ocupación hotelera y de turistas en la ciudad no es directamente proporcional con la asistencia a eventos taurinos; los datos analizados demuestran que la financiación y utilidades de la Feria de Manizales depende netamente de los patrocinadores y la Alcaldía, generando aumentos en las utilidades sin depender de la fluctuación en asistentes a los eventos taurinos; el ingreso de turistas a la feria no es directamente proporcional con la asistencia a la plaza. Finalmente, cabe resaltar que en gran medida los empleos generados en la feria no son a raíz de los eventos taurinos, por lo que no </w:t>
      </w:r>
      <w:r w:rsidRPr="00EA2C95">
        <w:rPr>
          <w:rFonts w:ascii="Bookman Old Style" w:eastAsia="Bookman Old Style" w:hAnsi="Bookman Old Style" w:cs="Bookman Old Style"/>
          <w:color w:val="000000"/>
          <w:sz w:val="22"/>
          <w:szCs w:val="22"/>
        </w:rPr>
        <w:lastRenderedPageBreak/>
        <w:t>se puede considerar como un punto de referencia económico y que sea relevante en los informes de la Feria de Manizales entregados por el ICTM.</w:t>
      </w:r>
    </w:p>
    <w:p w14:paraId="1748DABC"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5367D14" w14:textId="482F7E2F" w:rsidR="00756FAE" w:rsidRPr="00E56BBC"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Si lo anterior es demostrado para Manizales, como la principal plaza taurina del país, es válido extrapolar estos resultados a otras ciudades de Colombia.</w:t>
      </w:r>
    </w:p>
    <w:p w14:paraId="566948D9"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201C8BD8" w14:textId="07A0F3AA" w:rsidR="00756FAE" w:rsidRPr="00EA2C95" w:rsidRDefault="00E56BBC">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6</w:t>
      </w:r>
      <w:r w:rsidR="00EA2C95" w:rsidRPr="00EA2C95">
        <w:rPr>
          <w:rFonts w:ascii="Bookman Old Style" w:eastAsia="Bookman Old Style" w:hAnsi="Bookman Old Style" w:cs="Bookman Old Style"/>
          <w:b/>
          <w:color w:val="000000"/>
          <w:sz w:val="22"/>
          <w:szCs w:val="22"/>
        </w:rPr>
        <w:t>. COMPETENCIA DEL CONGRESO</w:t>
      </w:r>
      <w:r>
        <w:rPr>
          <w:rFonts w:ascii="Bookman Old Style" w:eastAsia="Bookman Old Style" w:hAnsi="Bookman Old Style" w:cs="Bookman Old Style"/>
          <w:b/>
          <w:color w:val="000000"/>
          <w:sz w:val="22"/>
          <w:szCs w:val="22"/>
        </w:rPr>
        <w:t>.</w:t>
      </w:r>
    </w:p>
    <w:p w14:paraId="022D9D3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AF5D061" w14:textId="492762FF" w:rsidR="00756FAE" w:rsidRPr="00EA2C95" w:rsidRDefault="00EA2C95">
      <w:pPr>
        <w:pBdr>
          <w:top w:val="nil"/>
          <w:left w:val="nil"/>
          <w:bottom w:val="nil"/>
          <w:right w:val="nil"/>
          <w:between w:val="nil"/>
        </w:pBdr>
        <w:jc w:val="both"/>
        <w:rPr>
          <w:rFonts w:ascii="Bookman Old Style" w:eastAsia="Bookman Old Style" w:hAnsi="Bookman Old Style" w:cs="Bookman Old Style"/>
          <w:b/>
          <w:color w:val="000000"/>
          <w:sz w:val="22"/>
          <w:szCs w:val="22"/>
          <w:u w:val="single"/>
        </w:rPr>
      </w:pPr>
      <w:r w:rsidRPr="00EA2C95">
        <w:rPr>
          <w:rFonts w:ascii="Bookman Old Style" w:eastAsia="Bookman Old Style" w:hAnsi="Bookman Old Style" w:cs="Bookman Old Style"/>
          <w:color w:val="000000"/>
          <w:sz w:val="22"/>
          <w:szCs w:val="22"/>
        </w:rPr>
        <w:t xml:space="preserve"> </w:t>
      </w:r>
      <w:r w:rsidR="00E56BBC">
        <w:rPr>
          <w:rFonts w:ascii="Bookman Old Style" w:eastAsia="Bookman Old Style" w:hAnsi="Bookman Old Style" w:cs="Bookman Old Style"/>
          <w:b/>
          <w:color w:val="000000"/>
          <w:sz w:val="22"/>
          <w:szCs w:val="22"/>
        </w:rPr>
        <w:t>6</w:t>
      </w:r>
      <w:r w:rsidRPr="00EA2C95">
        <w:rPr>
          <w:rFonts w:ascii="Bookman Old Style" w:eastAsia="Bookman Old Style" w:hAnsi="Bookman Old Style" w:cs="Bookman Old Style"/>
          <w:b/>
          <w:color w:val="000000"/>
          <w:sz w:val="22"/>
          <w:szCs w:val="22"/>
        </w:rPr>
        <w:t xml:space="preserve">.1. </w:t>
      </w:r>
      <w:r w:rsidRPr="00EA2C95">
        <w:rPr>
          <w:rFonts w:ascii="Bookman Old Style" w:eastAsia="Bookman Old Style" w:hAnsi="Bookman Old Style" w:cs="Bookman Old Style"/>
          <w:b/>
          <w:color w:val="000000"/>
          <w:sz w:val="22"/>
          <w:szCs w:val="22"/>
          <w:u w:val="single"/>
        </w:rPr>
        <w:t>CONSTITUCIONAL:</w:t>
      </w:r>
    </w:p>
    <w:p w14:paraId="3347DAF4" w14:textId="77777777" w:rsidR="00756FAE" w:rsidRPr="00EA2C95" w:rsidRDefault="00EA2C95">
      <w:pPr>
        <w:pBdr>
          <w:top w:val="nil"/>
          <w:left w:val="nil"/>
          <w:bottom w:val="nil"/>
          <w:right w:val="nil"/>
          <w:between w:val="nil"/>
        </w:pBdr>
        <w:ind w:right="900"/>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 xml:space="preserve"> </w:t>
      </w:r>
    </w:p>
    <w:p w14:paraId="66A79895"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b/>
          <w:i/>
          <w:color w:val="000000"/>
          <w:sz w:val="22"/>
          <w:szCs w:val="22"/>
        </w:rPr>
        <w:t>“ARTÍCULO 114</w:t>
      </w:r>
      <w:r w:rsidRPr="00EA2C95">
        <w:rPr>
          <w:rFonts w:ascii="Bookman Old Style" w:eastAsia="Bookman Old Style" w:hAnsi="Bookman Old Style" w:cs="Bookman Old Style"/>
          <w:i/>
          <w:color w:val="000000"/>
          <w:sz w:val="22"/>
          <w:szCs w:val="22"/>
        </w:rPr>
        <w:t>. Corresponde al Congreso de la República reformar la Constitución, hacer las leyes y ejercer control político sobre el gobierno y la administración.</w:t>
      </w:r>
    </w:p>
    <w:p w14:paraId="46957315"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6E6CB622"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El Congreso de la República, estará integrado por el Senado y la Cámara de Representantes (...)</w:t>
      </w:r>
    </w:p>
    <w:p w14:paraId="5B941775"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5B54CCED"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b/>
          <w:i/>
          <w:color w:val="000000"/>
          <w:sz w:val="22"/>
          <w:szCs w:val="22"/>
        </w:rPr>
        <w:t>ARTÍCULO  150</w:t>
      </w:r>
      <w:r w:rsidRPr="00EA2C95">
        <w:rPr>
          <w:rFonts w:ascii="Bookman Old Style" w:eastAsia="Bookman Old Style" w:hAnsi="Bookman Old Style" w:cs="Bookman Old Style"/>
          <w:i/>
          <w:color w:val="000000"/>
          <w:sz w:val="22"/>
          <w:szCs w:val="22"/>
        </w:rPr>
        <w:t>. Corresponde al Congreso hacer las leyes. Por medio de ellas ejerce las siguientes funciones:</w:t>
      </w:r>
    </w:p>
    <w:p w14:paraId="5F468FBD"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3105383A" w14:textId="77777777" w:rsidR="00756FAE" w:rsidRPr="00EA2C95" w:rsidRDefault="00EA2C95">
      <w:pPr>
        <w:pBdr>
          <w:top w:val="nil"/>
          <w:left w:val="nil"/>
          <w:bottom w:val="nil"/>
          <w:right w:val="nil"/>
          <w:between w:val="nil"/>
        </w:pBdr>
        <w:ind w:left="1640" w:right="900" w:hanging="36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1.   Interpretar, reformar y derogar las leyes.</w:t>
      </w:r>
    </w:p>
    <w:p w14:paraId="304AD87F" w14:textId="77777777" w:rsidR="00756FAE" w:rsidRPr="00EA2C95" w:rsidRDefault="00EA2C95">
      <w:pPr>
        <w:pBdr>
          <w:top w:val="nil"/>
          <w:left w:val="nil"/>
          <w:bottom w:val="nil"/>
          <w:right w:val="nil"/>
          <w:between w:val="nil"/>
        </w:pBdr>
        <w:ind w:left="1640" w:right="900" w:hanging="36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w:t>
      </w:r>
    </w:p>
    <w:p w14:paraId="4260484B" w14:textId="77777777" w:rsidR="00756FAE" w:rsidRPr="00EA2C95" w:rsidRDefault="00EA2C95">
      <w:pPr>
        <w:pBdr>
          <w:top w:val="nil"/>
          <w:left w:val="nil"/>
          <w:bottom w:val="nil"/>
          <w:right w:val="nil"/>
          <w:between w:val="nil"/>
        </w:pBdr>
        <w:ind w:left="128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02C23C04" w14:textId="3CBDAEFC" w:rsidR="00756FAE" w:rsidRPr="00EA2C95" w:rsidRDefault="00EA2C95">
      <w:pPr>
        <w:pBdr>
          <w:top w:val="nil"/>
          <w:left w:val="nil"/>
          <w:bottom w:val="nil"/>
          <w:right w:val="nil"/>
          <w:between w:val="nil"/>
        </w:pBdr>
        <w:ind w:right="900"/>
        <w:jc w:val="both"/>
        <w:rPr>
          <w:rFonts w:ascii="Bookman Old Style" w:eastAsia="Bookman Old Style" w:hAnsi="Bookman Old Style" w:cs="Bookman Old Style"/>
          <w:b/>
          <w:color w:val="000000"/>
          <w:sz w:val="22"/>
          <w:szCs w:val="22"/>
          <w:u w:val="single"/>
        </w:rPr>
      </w:pPr>
      <w:r w:rsidRPr="00EA2C95">
        <w:rPr>
          <w:rFonts w:ascii="Bookman Old Style" w:eastAsia="Bookman Old Style" w:hAnsi="Bookman Old Style" w:cs="Bookman Old Style"/>
          <w:b/>
          <w:color w:val="000000"/>
          <w:sz w:val="22"/>
          <w:szCs w:val="22"/>
        </w:rPr>
        <w:t xml:space="preserve"> </w:t>
      </w:r>
      <w:r w:rsidR="00E56BBC">
        <w:rPr>
          <w:rFonts w:ascii="Bookman Old Style" w:eastAsia="Bookman Old Style" w:hAnsi="Bookman Old Style" w:cs="Bookman Old Style"/>
          <w:b/>
          <w:color w:val="000000"/>
          <w:sz w:val="22"/>
          <w:szCs w:val="22"/>
        </w:rPr>
        <w:t>6</w:t>
      </w:r>
      <w:r w:rsidRPr="00EA2C95">
        <w:rPr>
          <w:rFonts w:ascii="Bookman Old Style" w:eastAsia="Bookman Old Style" w:hAnsi="Bookman Old Style" w:cs="Bookman Old Style"/>
          <w:b/>
          <w:color w:val="000000"/>
          <w:sz w:val="22"/>
          <w:szCs w:val="22"/>
        </w:rPr>
        <w:t xml:space="preserve">.2. </w:t>
      </w:r>
      <w:r w:rsidRPr="00EA2C95">
        <w:rPr>
          <w:rFonts w:ascii="Bookman Old Style" w:eastAsia="Bookman Old Style" w:hAnsi="Bookman Old Style" w:cs="Bookman Old Style"/>
          <w:b/>
          <w:color w:val="000000"/>
          <w:sz w:val="22"/>
          <w:szCs w:val="22"/>
          <w:u w:val="single"/>
        </w:rPr>
        <w:t>LEGAL:</w:t>
      </w:r>
    </w:p>
    <w:p w14:paraId="708525F7" w14:textId="77777777" w:rsidR="00756FAE" w:rsidRPr="00EA2C95" w:rsidRDefault="00EA2C95">
      <w:pPr>
        <w:pBdr>
          <w:top w:val="nil"/>
          <w:left w:val="nil"/>
          <w:bottom w:val="nil"/>
          <w:right w:val="nil"/>
          <w:between w:val="nil"/>
        </w:pBdr>
        <w:ind w:right="900"/>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3F0E5DA2"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LEY 3 DE 1992. POR LA CUAL SE EXPIDEN NORMAS SOBRE LAS COMISIONES DEL CONGRESO DE COLOMBIA Y SE DICTAN OTRAS DISPOSICIONES.</w:t>
      </w:r>
    </w:p>
    <w:p w14:paraId="252AE5CC"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 xml:space="preserve"> </w:t>
      </w:r>
    </w:p>
    <w:p w14:paraId="79BE83B2"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b/>
          <w:i/>
          <w:color w:val="000000"/>
          <w:sz w:val="22"/>
          <w:szCs w:val="22"/>
        </w:rPr>
        <w:t xml:space="preserve">“ARTÍCULO 2º </w:t>
      </w:r>
      <w:r w:rsidRPr="00EA2C95">
        <w:rPr>
          <w:rFonts w:ascii="Bookman Old Style" w:eastAsia="Bookman Old Style" w:hAnsi="Bookman Old Style" w:cs="Bookman Old Style"/>
          <w:i/>
          <w:color w:val="000000"/>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1CCF3389"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53F8C996"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Las Comisiones Constitucionales Permanentes en cada una de las Cámaras serán siete (7) a saber”</w:t>
      </w:r>
    </w:p>
    <w:p w14:paraId="0A5A6FE3" w14:textId="77777777" w:rsidR="00756FAE" w:rsidRPr="00EA2C95" w:rsidRDefault="00756FAE">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rPr>
      </w:pPr>
    </w:p>
    <w:p w14:paraId="4A831CA0"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LEY 5 DE 1992.</w:t>
      </w:r>
      <w:r w:rsidRPr="00EA2C95">
        <w:rPr>
          <w:rFonts w:ascii="Bookman Old Style" w:eastAsia="Bookman Old Style" w:hAnsi="Bookman Old Style" w:cs="Bookman Old Style"/>
          <w:color w:val="000000"/>
          <w:sz w:val="22"/>
          <w:szCs w:val="22"/>
        </w:rPr>
        <w:t xml:space="preserve"> </w:t>
      </w:r>
      <w:r w:rsidRPr="00EA2C95">
        <w:rPr>
          <w:rFonts w:ascii="Bookman Old Style" w:eastAsia="Bookman Old Style" w:hAnsi="Bookman Old Style" w:cs="Bookman Old Style"/>
          <w:b/>
          <w:color w:val="000000"/>
          <w:sz w:val="22"/>
          <w:szCs w:val="22"/>
        </w:rPr>
        <w:t>POR LA CUAL SE EXPIDE EL REGLAMENTO DEL CONGRESO; EL SENADO Y LA CÁMARA DE REPRESENTANTES</w:t>
      </w:r>
    </w:p>
    <w:p w14:paraId="22EDF2B4"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 xml:space="preserve"> </w:t>
      </w:r>
    </w:p>
    <w:p w14:paraId="1D84AF4C"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b/>
          <w:i/>
          <w:color w:val="000000"/>
          <w:sz w:val="22"/>
          <w:szCs w:val="22"/>
        </w:rPr>
        <w:t xml:space="preserve">“ARTÍCULO 6o. CLASES DE FUNCIONES DEL CONGRESO. </w:t>
      </w:r>
      <w:r w:rsidRPr="00EA2C95">
        <w:rPr>
          <w:rFonts w:ascii="Bookman Old Style" w:eastAsia="Bookman Old Style" w:hAnsi="Bookman Old Style" w:cs="Bookman Old Style"/>
          <w:i/>
          <w:color w:val="000000"/>
          <w:sz w:val="22"/>
          <w:szCs w:val="22"/>
        </w:rPr>
        <w:t>El Congreso de la República cumple:</w:t>
      </w:r>
    </w:p>
    <w:p w14:paraId="0645AA2A"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399DBF89"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lastRenderedPageBreak/>
        <w:t>1. Función CONSTITUYENTE, para reformar la Constitución Política mediante actos legislativos.</w:t>
      </w:r>
    </w:p>
    <w:p w14:paraId="73C9C009"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1DD90E3C"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2. Función LEGISLATIVA, para elaborar, interpretar, reformar y derogar las leyes y códigos en todos los ramos de la legislación</w:t>
      </w:r>
    </w:p>
    <w:p w14:paraId="2B03DC1B" w14:textId="77777777" w:rsidR="00756FAE" w:rsidRPr="00EA2C95" w:rsidRDefault="00EA2C95">
      <w:pPr>
        <w:pBdr>
          <w:top w:val="nil"/>
          <w:left w:val="nil"/>
          <w:bottom w:val="nil"/>
          <w:right w:val="nil"/>
          <w:between w:val="nil"/>
        </w:pBdr>
        <w:ind w:left="86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w:t>
      </w:r>
    </w:p>
    <w:p w14:paraId="4E1FB626"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201096E" w14:textId="65BCD42C"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En el caso particular, se considera que el presente proyecto debe tramitarse a través de la Comisión Primera Constitucional, en tanto pretende el reconocimiento de la protección y derechos de los animales en su calidad de seres sintientes.</w:t>
      </w:r>
    </w:p>
    <w:p w14:paraId="4CD380CD"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F1E7E59" w14:textId="2414D3D4" w:rsidR="00E56BBC" w:rsidRPr="00EA2C95" w:rsidRDefault="00E56BBC">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7</w:t>
      </w:r>
      <w:r w:rsidR="00EA2C95" w:rsidRPr="00EA2C95">
        <w:rPr>
          <w:rFonts w:ascii="Bookman Old Style" w:eastAsia="Bookman Old Style" w:hAnsi="Bookman Old Style" w:cs="Bookman Old Style"/>
          <w:b/>
          <w:color w:val="000000"/>
          <w:sz w:val="22"/>
          <w:szCs w:val="22"/>
        </w:rPr>
        <w:t>.</w:t>
      </w:r>
      <w:r w:rsidR="00EA2C95" w:rsidRPr="00EA2C95">
        <w:rPr>
          <w:rFonts w:ascii="Bookman Old Style" w:eastAsia="Bookman Old Style" w:hAnsi="Bookman Old Style" w:cs="Bookman Old Style"/>
          <w:color w:val="000000"/>
          <w:sz w:val="22"/>
          <w:szCs w:val="22"/>
        </w:rPr>
        <w:t xml:space="preserve"> </w:t>
      </w:r>
      <w:r w:rsidR="00EA2C95" w:rsidRPr="00EA2C95">
        <w:rPr>
          <w:rFonts w:ascii="Bookman Old Style" w:eastAsia="Bookman Old Style" w:hAnsi="Bookman Old Style" w:cs="Bookman Old Style"/>
          <w:b/>
          <w:color w:val="000000"/>
          <w:sz w:val="22"/>
          <w:szCs w:val="22"/>
        </w:rPr>
        <w:t>CONFLICTO DE INTERÉS</w:t>
      </w:r>
      <w:r>
        <w:rPr>
          <w:rFonts w:ascii="Bookman Old Style" w:eastAsia="Bookman Old Style" w:hAnsi="Bookman Old Style" w:cs="Bookman Old Style"/>
          <w:b/>
          <w:color w:val="000000"/>
          <w:sz w:val="22"/>
          <w:szCs w:val="22"/>
        </w:rPr>
        <w:t>.</w:t>
      </w:r>
    </w:p>
    <w:p w14:paraId="67C3E8C5" w14:textId="77777777" w:rsidR="00756FAE" w:rsidRPr="00EA2C95" w:rsidRDefault="00756FA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1C5B33E" w14:textId="77777777" w:rsidR="00756FAE" w:rsidRPr="00EA2C95" w:rsidRDefault="00EA2C95">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Dando alcance a lo establecido en el artículo 3 de la Ley 2003 de 2019, “</w:t>
      </w:r>
      <w:r w:rsidRPr="00EA2C95">
        <w:rPr>
          <w:rFonts w:ascii="Bookman Old Style" w:eastAsia="Bookman Old Style" w:hAnsi="Bookman Old Style" w:cs="Bookman Old Style"/>
          <w:i/>
          <w:color w:val="000000"/>
          <w:sz w:val="22"/>
          <w:szCs w:val="22"/>
        </w:rPr>
        <w:t>Por la cual se modifica parcialmente la Ley 5 de 1992</w:t>
      </w:r>
      <w:r w:rsidRPr="00EA2C95">
        <w:rPr>
          <w:rFonts w:ascii="Bookman Old Style" w:eastAsia="Bookman Old Style" w:hAnsi="Bookman Old Style" w:cs="Bookman Old Style"/>
          <w:color w:val="000000"/>
          <w:sz w:val="22"/>
          <w:szCs w:val="22"/>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787A3E04" w14:textId="77777777" w:rsidR="00756FAE" w:rsidRPr="00EA2C95" w:rsidRDefault="00756FAE">
      <w:pPr>
        <w:jc w:val="both"/>
        <w:rPr>
          <w:rFonts w:ascii="Bookman Old Style" w:eastAsia="Bookman Old Style" w:hAnsi="Bookman Old Style" w:cs="Bookman Old Style"/>
          <w:color w:val="000000"/>
          <w:sz w:val="22"/>
          <w:szCs w:val="22"/>
        </w:rPr>
      </w:pPr>
    </w:p>
    <w:p w14:paraId="04AA2042" w14:textId="77777777" w:rsidR="00756FAE" w:rsidRPr="00EA2C95" w:rsidRDefault="00EA2C95">
      <w:pPr>
        <w:ind w:left="85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w:t>
      </w:r>
      <w:r w:rsidRPr="00EA2C95">
        <w:rPr>
          <w:rFonts w:ascii="Bookman Old Style" w:eastAsia="Bookman Old Style" w:hAnsi="Bookman Old Style" w:cs="Bookman Old Style"/>
          <w:b/>
          <w:i/>
          <w:color w:val="000000"/>
          <w:sz w:val="22"/>
          <w:szCs w:val="22"/>
        </w:rPr>
        <w:t>Artículo 286. Régimen de conflicto de interés de los congresistas.</w:t>
      </w:r>
      <w:r w:rsidRPr="00EA2C95">
        <w:rPr>
          <w:rFonts w:ascii="Bookman Old Style" w:eastAsia="Bookman Old Style" w:hAnsi="Bookman Old Style" w:cs="Bookman Old Style"/>
          <w:i/>
          <w:color w:val="000000"/>
          <w:sz w:val="22"/>
          <w:szCs w:val="22"/>
        </w:rPr>
        <w:t xml:space="preserve"> Todos los congresistas deberán declarar los conflictos </w:t>
      </w:r>
      <w:r w:rsidRPr="00EA2C95">
        <w:rPr>
          <w:rFonts w:ascii="Bookman Old Style" w:eastAsia="Bookman Old Style" w:hAnsi="Bookman Old Style" w:cs="Bookman Old Style"/>
          <w:i/>
          <w:sz w:val="22"/>
          <w:szCs w:val="22"/>
        </w:rPr>
        <w:t>de intereses</w:t>
      </w:r>
      <w:r w:rsidRPr="00EA2C95">
        <w:rPr>
          <w:rFonts w:ascii="Bookman Old Style" w:eastAsia="Bookman Old Style" w:hAnsi="Bookman Old Style" w:cs="Bookman Old Style"/>
          <w:i/>
          <w:color w:val="000000"/>
          <w:sz w:val="22"/>
          <w:szCs w:val="22"/>
        </w:rPr>
        <w:t xml:space="preserve"> que pudieran surgir en ejercicio de sus funciones.</w:t>
      </w:r>
    </w:p>
    <w:p w14:paraId="0DA440BF" w14:textId="77777777" w:rsidR="00756FAE" w:rsidRPr="00EA2C95" w:rsidRDefault="00EA2C95">
      <w:pPr>
        <w:ind w:left="85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Se entiende como conflicto de interés una situación donde la discusión o votación de un proyecto de ley o acto legislativo o artículo, pueda resultar en un beneficio particular, actual y directo a favor del congresista. </w:t>
      </w:r>
    </w:p>
    <w:p w14:paraId="71549EC6" w14:textId="77777777" w:rsidR="00756FAE" w:rsidRPr="00EA2C95" w:rsidRDefault="00EA2C95">
      <w:pPr>
        <w:numPr>
          <w:ilvl w:val="0"/>
          <w:numId w:val="3"/>
        </w:numPr>
        <w:spacing w:after="160"/>
        <w:ind w:left="850" w:right="900" w:firstLine="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65C0565" w14:textId="77777777" w:rsidR="00756FAE" w:rsidRPr="00EA2C95" w:rsidRDefault="00EA2C95">
      <w:pPr>
        <w:numPr>
          <w:ilvl w:val="0"/>
          <w:numId w:val="3"/>
        </w:numPr>
        <w:spacing w:after="160"/>
        <w:ind w:left="850" w:right="900" w:firstLine="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Beneficio actual: aquel que efectivamente se configura en las circunstancias presentes y existentes al momento en el que el congresista participa de la decisión. </w:t>
      </w:r>
    </w:p>
    <w:p w14:paraId="2347CA16" w14:textId="77777777" w:rsidR="00756FAE" w:rsidRPr="00EA2C95" w:rsidRDefault="00EA2C95">
      <w:pPr>
        <w:numPr>
          <w:ilvl w:val="0"/>
          <w:numId w:val="3"/>
        </w:numPr>
        <w:spacing w:after="160"/>
        <w:ind w:left="850" w:right="900" w:firstLine="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Beneficio directo: aquel que se produzca de forma específica respecto del congresista, de su cónyuge, compañero o compañera permanente, o parientes dentro del segundo grado de consanguinidad, segundo de afinidad o primero civil.</w:t>
      </w:r>
    </w:p>
    <w:p w14:paraId="14207208" w14:textId="77777777" w:rsidR="00756FAE" w:rsidRPr="00EA2C95" w:rsidRDefault="00EA2C95">
      <w:pPr>
        <w:ind w:left="850" w:right="474"/>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 xml:space="preserve">                                                                                                          (…)”</w:t>
      </w:r>
    </w:p>
    <w:p w14:paraId="3BC34DAF" w14:textId="77777777" w:rsidR="00756FAE" w:rsidRPr="00EA2C95" w:rsidRDefault="00756FAE">
      <w:pPr>
        <w:ind w:left="284" w:right="474"/>
        <w:jc w:val="both"/>
        <w:rPr>
          <w:rFonts w:ascii="Bookman Old Style" w:eastAsia="Bookman Old Style" w:hAnsi="Bookman Old Style" w:cs="Bookman Old Style"/>
          <w:i/>
          <w:color w:val="000000"/>
          <w:sz w:val="22"/>
          <w:szCs w:val="22"/>
        </w:rPr>
      </w:pPr>
    </w:p>
    <w:p w14:paraId="4E8815EE" w14:textId="77777777" w:rsidR="00756FAE" w:rsidRPr="00EA2C95" w:rsidRDefault="00EA2C95">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Sobre este asunto la Sala Plena Contenciosa Administrativa del Honorable Consejo de Estado en su sentencia 02830 del 16 de julio de 2019, M.P. Carlos Enrique Moreno Rubio, señaló que:</w:t>
      </w:r>
    </w:p>
    <w:p w14:paraId="55BE1FC1" w14:textId="77777777" w:rsidR="00756FAE" w:rsidRPr="00EA2C95" w:rsidRDefault="00756FAE">
      <w:pPr>
        <w:jc w:val="both"/>
        <w:rPr>
          <w:rFonts w:ascii="Bookman Old Style" w:eastAsia="Bookman Old Style" w:hAnsi="Bookman Old Style" w:cs="Bookman Old Style"/>
          <w:color w:val="000000"/>
          <w:sz w:val="22"/>
          <w:szCs w:val="22"/>
        </w:rPr>
      </w:pPr>
    </w:p>
    <w:p w14:paraId="79D51636" w14:textId="77777777" w:rsidR="00756FAE" w:rsidRPr="00EA2C95" w:rsidRDefault="00EA2C95">
      <w:pPr>
        <w:ind w:left="850" w:right="900"/>
        <w:jc w:val="both"/>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EC2136B" w14:textId="77777777" w:rsidR="00756FAE" w:rsidRPr="00EA2C95" w:rsidRDefault="00756FAE">
      <w:pPr>
        <w:jc w:val="both"/>
        <w:rPr>
          <w:rFonts w:ascii="Bookman Old Style" w:eastAsia="Bookman Old Style" w:hAnsi="Bookman Old Style" w:cs="Bookman Old Style"/>
          <w:color w:val="000000"/>
          <w:sz w:val="22"/>
          <w:szCs w:val="22"/>
        </w:rPr>
      </w:pPr>
    </w:p>
    <w:p w14:paraId="766FEF2C" w14:textId="56C8B1F9" w:rsidR="00756FAE" w:rsidRPr="00EA2C95" w:rsidRDefault="00EA2C95">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 en empresas vinculadas a la producción, comercialización, reproducción, exportación, importación, cría, entrenamiento o sacrificio de ganadería destinada a actividades de corridas de toros, novilladas, becerradas y tientas.</w:t>
      </w:r>
    </w:p>
    <w:p w14:paraId="3F375C34" w14:textId="77777777" w:rsidR="00756FAE" w:rsidRPr="00EA2C95" w:rsidRDefault="00756FAE">
      <w:pPr>
        <w:jc w:val="both"/>
        <w:rPr>
          <w:rFonts w:ascii="Bookman Old Style" w:eastAsia="Bookman Old Style" w:hAnsi="Bookman Old Style" w:cs="Bookman Old Style"/>
          <w:color w:val="000000"/>
          <w:sz w:val="22"/>
          <w:szCs w:val="22"/>
        </w:rPr>
      </w:pPr>
      <w:bookmarkStart w:id="3" w:name="bookmark=id.3znysh7" w:colFirst="0" w:colLast="0"/>
      <w:bookmarkEnd w:id="3"/>
    </w:p>
    <w:p w14:paraId="49D8FC0D" w14:textId="12C1FA77" w:rsidR="00756FAE" w:rsidRPr="00EA2C95" w:rsidRDefault="00EA2C95">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También incurrirán en conflicto de interés quienes pertenezcan a gremios relacionados con las actividades de corridas de toros, novilladas, becerradas y tientas y quienes promuevan, desarrollen o financien dichas actividades.</w:t>
      </w:r>
    </w:p>
    <w:p w14:paraId="244A4B4D" w14:textId="77777777" w:rsidR="00756FAE" w:rsidRPr="00EA2C95" w:rsidRDefault="00756FAE">
      <w:pPr>
        <w:jc w:val="both"/>
        <w:rPr>
          <w:rFonts w:ascii="Bookman Old Style" w:eastAsia="Bookman Old Style" w:hAnsi="Bookman Old Style" w:cs="Bookman Old Style"/>
          <w:color w:val="000000"/>
          <w:sz w:val="22"/>
          <w:szCs w:val="22"/>
        </w:rPr>
      </w:pPr>
    </w:p>
    <w:p w14:paraId="513794E0" w14:textId="77777777" w:rsidR="00756FAE" w:rsidRPr="00EA2C95" w:rsidRDefault="00EA2C95">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5C572F4A" w14:textId="2443EF36" w:rsidR="00756FAE" w:rsidRDefault="00756FAE">
      <w:pPr>
        <w:jc w:val="both"/>
        <w:rPr>
          <w:rFonts w:ascii="Bookman Old Style" w:eastAsia="Bookman Old Style" w:hAnsi="Bookman Old Style" w:cs="Bookman Old Style"/>
          <w:color w:val="000000"/>
          <w:sz w:val="22"/>
          <w:szCs w:val="22"/>
        </w:rPr>
      </w:pPr>
    </w:p>
    <w:p w14:paraId="5D3CA62F" w14:textId="49F3384F" w:rsidR="00605F33" w:rsidRDefault="00605F33">
      <w:pPr>
        <w:jc w:val="both"/>
        <w:rPr>
          <w:rFonts w:ascii="Bookman Old Style" w:eastAsia="Bookman Old Style" w:hAnsi="Bookman Old Style" w:cs="Bookman Old Style"/>
          <w:color w:val="000000"/>
          <w:sz w:val="22"/>
          <w:szCs w:val="22"/>
        </w:rPr>
      </w:pPr>
    </w:p>
    <w:p w14:paraId="12C4107C" w14:textId="06B91A1A" w:rsidR="00605F33" w:rsidRDefault="00605F33">
      <w:pPr>
        <w:jc w:val="both"/>
        <w:rPr>
          <w:rFonts w:ascii="Bookman Old Style" w:eastAsia="Bookman Old Style" w:hAnsi="Bookman Old Style" w:cs="Bookman Old Style"/>
          <w:color w:val="000000"/>
          <w:sz w:val="22"/>
          <w:szCs w:val="22"/>
        </w:rPr>
      </w:pPr>
    </w:p>
    <w:p w14:paraId="062AFBA4" w14:textId="3A046BCA" w:rsidR="00605F33" w:rsidRDefault="00605F33">
      <w:pPr>
        <w:jc w:val="both"/>
        <w:rPr>
          <w:rFonts w:ascii="Bookman Old Style" w:eastAsia="Bookman Old Style" w:hAnsi="Bookman Old Style" w:cs="Bookman Old Style"/>
          <w:color w:val="000000"/>
          <w:sz w:val="22"/>
          <w:szCs w:val="22"/>
        </w:rPr>
      </w:pPr>
    </w:p>
    <w:p w14:paraId="56A7FA79" w14:textId="0540E8D9" w:rsidR="00605F33" w:rsidRDefault="00605F33">
      <w:pPr>
        <w:jc w:val="both"/>
        <w:rPr>
          <w:rFonts w:ascii="Bookman Old Style" w:eastAsia="Bookman Old Style" w:hAnsi="Bookman Old Style" w:cs="Bookman Old Style"/>
          <w:color w:val="000000"/>
          <w:sz w:val="22"/>
          <w:szCs w:val="22"/>
        </w:rPr>
      </w:pPr>
    </w:p>
    <w:p w14:paraId="26318E19" w14:textId="56251093" w:rsidR="00605F33" w:rsidRDefault="00605F33">
      <w:pPr>
        <w:jc w:val="both"/>
        <w:rPr>
          <w:rFonts w:ascii="Bookman Old Style" w:eastAsia="Bookman Old Style" w:hAnsi="Bookman Old Style" w:cs="Bookman Old Style"/>
          <w:color w:val="000000"/>
          <w:sz w:val="22"/>
          <w:szCs w:val="22"/>
        </w:rPr>
      </w:pPr>
    </w:p>
    <w:p w14:paraId="66F9B9C8" w14:textId="15591A74" w:rsidR="00605F33" w:rsidRDefault="00605F33">
      <w:pPr>
        <w:jc w:val="both"/>
        <w:rPr>
          <w:rFonts w:ascii="Bookman Old Style" w:eastAsia="Bookman Old Style" w:hAnsi="Bookman Old Style" w:cs="Bookman Old Style"/>
          <w:color w:val="000000"/>
          <w:sz w:val="22"/>
          <w:szCs w:val="22"/>
        </w:rPr>
      </w:pPr>
    </w:p>
    <w:p w14:paraId="1658A418" w14:textId="77777777" w:rsidR="00605F33" w:rsidRDefault="00605F33">
      <w:pPr>
        <w:jc w:val="both"/>
        <w:rPr>
          <w:rFonts w:ascii="Bookman Old Style" w:eastAsia="Bookman Old Style" w:hAnsi="Bookman Old Style" w:cs="Bookman Old Style"/>
          <w:color w:val="000000"/>
          <w:sz w:val="22"/>
          <w:szCs w:val="22"/>
        </w:rPr>
      </w:pPr>
    </w:p>
    <w:p w14:paraId="3CC111E9" w14:textId="77777777" w:rsidR="00605F33" w:rsidRDefault="00605F33">
      <w:pPr>
        <w:jc w:val="both"/>
        <w:rPr>
          <w:rFonts w:ascii="Bookman Old Style" w:eastAsia="Bookman Old Style" w:hAnsi="Bookman Old Style" w:cs="Bookman Old Style"/>
          <w:color w:val="000000"/>
          <w:sz w:val="22"/>
          <w:szCs w:val="22"/>
        </w:rPr>
      </w:pPr>
    </w:p>
    <w:p w14:paraId="745A8BFC" w14:textId="50B9400D" w:rsidR="001C6854" w:rsidRDefault="001C6854" w:rsidP="00E56BBC">
      <w:pPr>
        <w:pStyle w:val="Ttulo2"/>
        <w:keepNext w:val="0"/>
        <w:keepLines w:val="0"/>
        <w:widowControl w:val="0"/>
        <w:numPr>
          <w:ilvl w:val="0"/>
          <w:numId w:val="8"/>
        </w:numPr>
        <w:spacing w:before="0" w:after="0"/>
        <w:rPr>
          <w:rFonts w:ascii="Bookman Old Style" w:eastAsia="Calibri" w:hAnsi="Bookman Old Style" w:cs="Calibri"/>
          <w:sz w:val="22"/>
          <w:szCs w:val="22"/>
        </w:rPr>
      </w:pPr>
      <w:r>
        <w:rPr>
          <w:rFonts w:ascii="Bookman Old Style" w:eastAsia="Calibri" w:hAnsi="Bookman Old Style" w:cs="Calibri"/>
          <w:sz w:val="22"/>
          <w:szCs w:val="22"/>
        </w:rPr>
        <w:lastRenderedPageBreak/>
        <w:t>PLIEGO DE MODIFICACIONES</w:t>
      </w:r>
    </w:p>
    <w:p w14:paraId="6DDB1626" w14:textId="55D8E80B" w:rsidR="001C6854" w:rsidRDefault="001C6854" w:rsidP="001C6854">
      <w:pPr>
        <w:rPr>
          <w:rFonts w:eastAsia="Calibri"/>
          <w:lang w:val="es-ES"/>
        </w:rPr>
      </w:pPr>
    </w:p>
    <w:p w14:paraId="7D4AC403" w14:textId="384E9503" w:rsidR="00605F33" w:rsidRDefault="00605F33" w:rsidP="001C6854">
      <w:pPr>
        <w:rPr>
          <w:rFonts w:eastAsia="Calibri"/>
          <w:lang w:val="es-ES"/>
        </w:rPr>
      </w:pPr>
    </w:p>
    <w:p w14:paraId="39B7598D" w14:textId="77777777" w:rsidR="00605F33" w:rsidRDefault="00605F33" w:rsidP="001C6854">
      <w:pPr>
        <w:rPr>
          <w:rFonts w:eastAsia="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1C6854" w:rsidRPr="008A7299" w14:paraId="2969647D" w14:textId="77777777" w:rsidTr="00910FF3">
        <w:trPr>
          <w:trHeight w:val="544"/>
        </w:trPr>
        <w:tc>
          <w:tcPr>
            <w:tcW w:w="2942" w:type="dxa"/>
            <w:shd w:val="clear" w:color="auto" w:fill="BFBFBF" w:themeFill="background1" w:themeFillShade="BF"/>
            <w:vAlign w:val="center"/>
          </w:tcPr>
          <w:p w14:paraId="4CDDA6E3" w14:textId="32D08833" w:rsidR="001C6854" w:rsidRPr="008A7299" w:rsidRDefault="001C6854" w:rsidP="00910FF3">
            <w:pPr>
              <w:ind w:left="57" w:right="57"/>
              <w:jc w:val="center"/>
              <w:rPr>
                <w:rFonts w:ascii="Bookman Old Style" w:hAnsi="Bookman Old Style"/>
                <w:b/>
                <w:color w:val="000000" w:themeColor="text1"/>
                <w:sz w:val="18"/>
                <w:szCs w:val="18"/>
                <w:u w:val="single"/>
                <w:lang w:val="es-ES"/>
              </w:rPr>
            </w:pPr>
            <w:r w:rsidRPr="008A7299">
              <w:rPr>
                <w:rFonts w:ascii="Bookman Old Style" w:hAnsi="Bookman Old Style"/>
                <w:b/>
                <w:color w:val="000000" w:themeColor="text1"/>
                <w:sz w:val="18"/>
                <w:szCs w:val="18"/>
                <w:u w:val="single"/>
                <w:lang w:val="es-ES"/>
              </w:rPr>
              <w:t xml:space="preserve">Texto </w:t>
            </w:r>
            <w:r>
              <w:rPr>
                <w:rFonts w:ascii="Bookman Old Style" w:hAnsi="Bookman Old Style"/>
                <w:b/>
                <w:color w:val="000000" w:themeColor="text1"/>
                <w:sz w:val="18"/>
                <w:szCs w:val="18"/>
                <w:u w:val="single"/>
                <w:lang w:val="es-ES"/>
              </w:rPr>
              <w:t xml:space="preserve">radicado </w:t>
            </w:r>
          </w:p>
        </w:tc>
        <w:tc>
          <w:tcPr>
            <w:tcW w:w="2943" w:type="dxa"/>
            <w:shd w:val="clear" w:color="auto" w:fill="BFBFBF" w:themeFill="background1" w:themeFillShade="BF"/>
            <w:vAlign w:val="center"/>
          </w:tcPr>
          <w:p w14:paraId="6E582C4E" w14:textId="14692DA6" w:rsidR="001C6854" w:rsidRPr="008A7299" w:rsidRDefault="001C6854" w:rsidP="00910FF3">
            <w:pPr>
              <w:ind w:left="57" w:right="57"/>
              <w:jc w:val="center"/>
              <w:rPr>
                <w:rFonts w:ascii="Bookman Old Style" w:hAnsi="Bookman Old Style"/>
                <w:b/>
                <w:color w:val="000000" w:themeColor="text1"/>
                <w:sz w:val="18"/>
                <w:szCs w:val="18"/>
                <w:u w:val="single"/>
                <w:lang w:val="es-ES"/>
              </w:rPr>
            </w:pPr>
            <w:r w:rsidRPr="008A7299">
              <w:rPr>
                <w:rFonts w:ascii="Bookman Old Style" w:hAnsi="Bookman Old Style"/>
                <w:b/>
                <w:color w:val="000000" w:themeColor="text1"/>
                <w:sz w:val="18"/>
                <w:szCs w:val="18"/>
                <w:u w:val="single"/>
                <w:lang w:val="es-ES"/>
              </w:rPr>
              <w:t xml:space="preserve">Texto </w:t>
            </w:r>
            <w:r>
              <w:rPr>
                <w:rFonts w:ascii="Bookman Old Style" w:hAnsi="Bookman Old Style"/>
                <w:b/>
                <w:color w:val="000000" w:themeColor="text1"/>
                <w:sz w:val="18"/>
                <w:szCs w:val="18"/>
                <w:u w:val="single"/>
                <w:lang w:val="es-ES"/>
              </w:rPr>
              <w:t xml:space="preserve">aprobado en Comisión Primera y propuesto </w:t>
            </w:r>
            <w:r w:rsidRPr="008A7299">
              <w:rPr>
                <w:rFonts w:ascii="Bookman Old Style" w:hAnsi="Bookman Old Style"/>
                <w:b/>
                <w:color w:val="000000" w:themeColor="text1"/>
                <w:sz w:val="18"/>
                <w:szCs w:val="18"/>
                <w:u w:val="single"/>
                <w:lang w:val="es-ES"/>
              </w:rPr>
              <w:t xml:space="preserve">para </w:t>
            </w:r>
            <w:r>
              <w:rPr>
                <w:rFonts w:ascii="Bookman Old Style" w:hAnsi="Bookman Old Style"/>
                <w:b/>
                <w:color w:val="000000" w:themeColor="text1"/>
                <w:sz w:val="18"/>
                <w:szCs w:val="18"/>
                <w:u w:val="single"/>
                <w:lang w:val="es-ES"/>
              </w:rPr>
              <w:t>Segundo</w:t>
            </w:r>
            <w:r w:rsidRPr="008A7299">
              <w:rPr>
                <w:rFonts w:ascii="Bookman Old Style" w:hAnsi="Bookman Old Style"/>
                <w:b/>
                <w:color w:val="000000" w:themeColor="text1"/>
                <w:sz w:val="18"/>
                <w:szCs w:val="18"/>
                <w:u w:val="single"/>
                <w:lang w:val="es-ES"/>
              </w:rPr>
              <w:t xml:space="preserve"> Debate</w:t>
            </w:r>
          </w:p>
        </w:tc>
        <w:tc>
          <w:tcPr>
            <w:tcW w:w="2943" w:type="dxa"/>
            <w:shd w:val="clear" w:color="auto" w:fill="BFBFBF" w:themeFill="background1" w:themeFillShade="BF"/>
            <w:vAlign w:val="center"/>
          </w:tcPr>
          <w:p w14:paraId="47A89503" w14:textId="77777777" w:rsidR="001C6854" w:rsidRPr="008A7299" w:rsidRDefault="001C6854" w:rsidP="00910FF3">
            <w:pPr>
              <w:ind w:left="57" w:right="57"/>
              <w:jc w:val="center"/>
              <w:rPr>
                <w:rFonts w:ascii="Bookman Old Style" w:hAnsi="Bookman Old Style"/>
                <w:b/>
                <w:color w:val="000000" w:themeColor="text1"/>
                <w:sz w:val="18"/>
                <w:szCs w:val="18"/>
                <w:u w:val="single"/>
                <w:lang w:val="es-ES"/>
              </w:rPr>
            </w:pPr>
            <w:r w:rsidRPr="008A7299">
              <w:rPr>
                <w:rFonts w:ascii="Bookman Old Style" w:hAnsi="Bookman Old Style"/>
                <w:b/>
                <w:color w:val="000000" w:themeColor="text1"/>
                <w:sz w:val="18"/>
                <w:szCs w:val="18"/>
                <w:u w:val="single"/>
                <w:lang w:val="es-ES"/>
              </w:rPr>
              <w:t>Justificación</w:t>
            </w:r>
          </w:p>
        </w:tc>
      </w:tr>
      <w:tr w:rsidR="00D84C86" w:rsidRPr="008A7299" w14:paraId="078DAE27" w14:textId="77777777" w:rsidTr="00910FF3">
        <w:tc>
          <w:tcPr>
            <w:tcW w:w="2942" w:type="dxa"/>
          </w:tcPr>
          <w:p w14:paraId="156FB2B0" w14:textId="77777777" w:rsidR="00D84C86" w:rsidRPr="00D84C86" w:rsidRDefault="00D84C86" w:rsidP="00D84C86">
            <w:pPr>
              <w:pBdr>
                <w:top w:val="nil"/>
                <w:left w:val="nil"/>
                <w:bottom w:val="nil"/>
                <w:right w:val="nil"/>
                <w:between w:val="nil"/>
              </w:pBdr>
              <w:jc w:val="center"/>
              <w:rPr>
                <w:rFonts w:ascii="Bookman Old Style" w:eastAsia="Bookman Old Style" w:hAnsi="Bookman Old Style" w:cs="Bookman Old Style"/>
                <w:i/>
                <w:color w:val="000000"/>
                <w:sz w:val="18"/>
                <w:szCs w:val="18"/>
              </w:rPr>
            </w:pPr>
            <w:r w:rsidRPr="00D84C86">
              <w:rPr>
                <w:rFonts w:ascii="Bookman Old Style" w:eastAsia="Bookman Old Style" w:hAnsi="Bookman Old Style" w:cs="Bookman Old Style"/>
                <w:i/>
                <w:color w:val="000000"/>
                <w:sz w:val="18"/>
                <w:szCs w:val="18"/>
              </w:rPr>
              <w:t xml:space="preserve">“Por el cual se prohíben las prácticas taurinas en el territorio nacional </w:t>
            </w:r>
          </w:p>
          <w:p w14:paraId="7926CF3E" w14:textId="77777777" w:rsidR="00D84C86" w:rsidRPr="00D84C86" w:rsidRDefault="00D84C86" w:rsidP="00D84C86">
            <w:pPr>
              <w:pBdr>
                <w:top w:val="nil"/>
                <w:left w:val="nil"/>
                <w:bottom w:val="nil"/>
                <w:right w:val="nil"/>
                <w:between w:val="nil"/>
              </w:pBdr>
              <w:jc w:val="center"/>
              <w:rPr>
                <w:rFonts w:ascii="Bookman Old Style" w:eastAsia="Bookman Old Style" w:hAnsi="Bookman Old Style" w:cs="Bookman Old Style"/>
                <w:i/>
                <w:color w:val="000000"/>
                <w:sz w:val="18"/>
                <w:szCs w:val="18"/>
              </w:rPr>
            </w:pPr>
            <w:r w:rsidRPr="00D84C86">
              <w:rPr>
                <w:rFonts w:ascii="Bookman Old Style" w:eastAsia="Bookman Old Style" w:hAnsi="Bookman Old Style" w:cs="Bookman Old Style"/>
                <w:i/>
                <w:color w:val="000000"/>
                <w:sz w:val="18"/>
                <w:szCs w:val="18"/>
              </w:rPr>
              <w:t>y se dictan otras disposiciones”</w:t>
            </w:r>
          </w:p>
          <w:p w14:paraId="06FCDC5C" w14:textId="77777777" w:rsidR="00D84C86" w:rsidRPr="00D84C86" w:rsidRDefault="00D84C86" w:rsidP="00910FF3">
            <w:pPr>
              <w:ind w:left="57" w:right="57"/>
              <w:jc w:val="both"/>
              <w:rPr>
                <w:rFonts w:ascii="Bookman Old Style" w:hAnsi="Bookman Old Style" w:cs="Arial"/>
                <w:sz w:val="18"/>
                <w:szCs w:val="18"/>
              </w:rPr>
            </w:pPr>
          </w:p>
        </w:tc>
        <w:tc>
          <w:tcPr>
            <w:tcW w:w="2943" w:type="dxa"/>
          </w:tcPr>
          <w:p w14:paraId="052B1CD1" w14:textId="78F8CA48" w:rsidR="00D84C86" w:rsidRPr="00D84C86" w:rsidRDefault="00D84C86" w:rsidP="00D84C86">
            <w:pPr>
              <w:pBdr>
                <w:top w:val="nil"/>
                <w:left w:val="nil"/>
                <w:bottom w:val="nil"/>
                <w:right w:val="nil"/>
                <w:between w:val="nil"/>
              </w:pBdr>
              <w:jc w:val="center"/>
              <w:rPr>
                <w:rFonts w:ascii="Bookman Old Style" w:eastAsia="Bookman Old Style" w:hAnsi="Bookman Old Style" w:cs="Bookman Old Style"/>
                <w:i/>
                <w:color w:val="000000"/>
                <w:sz w:val="18"/>
                <w:szCs w:val="18"/>
              </w:rPr>
            </w:pPr>
            <w:r w:rsidRPr="00D84C86">
              <w:rPr>
                <w:rFonts w:ascii="Bookman Old Style" w:eastAsia="Bookman Old Style" w:hAnsi="Bookman Old Style" w:cs="Bookman Old Style"/>
                <w:i/>
                <w:color w:val="000000"/>
                <w:sz w:val="18"/>
                <w:szCs w:val="18"/>
              </w:rPr>
              <w:t xml:space="preserve">“Por el cual se </w:t>
            </w:r>
            <w:r w:rsidRPr="00D84C86">
              <w:rPr>
                <w:rFonts w:ascii="Bookman Old Style" w:eastAsia="Bookman Old Style" w:hAnsi="Bookman Old Style" w:cs="Bookman Old Style"/>
                <w:i/>
                <w:strike/>
                <w:color w:val="000000"/>
                <w:sz w:val="18"/>
                <w:szCs w:val="18"/>
              </w:rPr>
              <w:t xml:space="preserve">eliminan </w:t>
            </w:r>
            <w:r w:rsidRPr="00D84C86">
              <w:rPr>
                <w:rFonts w:ascii="Bookman Old Style" w:eastAsia="Bookman Old Style" w:hAnsi="Bookman Old Style" w:cs="Bookman Old Style"/>
                <w:b/>
                <w:bCs/>
                <w:i/>
                <w:color w:val="000000"/>
                <w:sz w:val="18"/>
                <w:szCs w:val="18"/>
                <w:u w:val="single"/>
              </w:rPr>
              <w:t>prohíben</w:t>
            </w:r>
            <w:r w:rsidRPr="00D84C86">
              <w:rPr>
                <w:rFonts w:ascii="Bookman Old Style" w:eastAsia="Bookman Old Style" w:hAnsi="Bookman Old Style" w:cs="Bookman Old Style"/>
                <w:i/>
                <w:color w:val="000000"/>
                <w:sz w:val="18"/>
                <w:szCs w:val="18"/>
              </w:rPr>
              <w:t xml:space="preserve"> las prácticas taurinas en el territorio nacional </w:t>
            </w:r>
          </w:p>
          <w:p w14:paraId="61FD288F" w14:textId="77777777" w:rsidR="00D84C86" w:rsidRPr="00D84C86" w:rsidRDefault="00D84C86" w:rsidP="00D84C86">
            <w:pPr>
              <w:pBdr>
                <w:top w:val="nil"/>
                <w:left w:val="nil"/>
                <w:bottom w:val="nil"/>
                <w:right w:val="nil"/>
                <w:between w:val="nil"/>
              </w:pBdr>
              <w:jc w:val="center"/>
              <w:rPr>
                <w:rFonts w:ascii="Bookman Old Style" w:eastAsia="Bookman Old Style" w:hAnsi="Bookman Old Style" w:cs="Bookman Old Style"/>
                <w:i/>
                <w:color w:val="000000"/>
                <w:sz w:val="18"/>
                <w:szCs w:val="18"/>
              </w:rPr>
            </w:pPr>
            <w:r w:rsidRPr="00D84C86">
              <w:rPr>
                <w:rFonts w:ascii="Bookman Old Style" w:eastAsia="Bookman Old Style" w:hAnsi="Bookman Old Style" w:cs="Bookman Old Style"/>
                <w:i/>
                <w:color w:val="000000"/>
                <w:sz w:val="18"/>
                <w:szCs w:val="18"/>
              </w:rPr>
              <w:t>y se dictan otras disposiciones”</w:t>
            </w:r>
          </w:p>
          <w:p w14:paraId="2D9E69CC" w14:textId="77777777" w:rsidR="00D84C86" w:rsidRPr="00D84C86" w:rsidRDefault="00D84C86" w:rsidP="00910FF3">
            <w:pPr>
              <w:ind w:left="57" w:right="57"/>
              <w:jc w:val="both"/>
              <w:rPr>
                <w:rFonts w:ascii="Bookman Old Style" w:hAnsi="Bookman Old Style" w:cs="Arial"/>
                <w:b/>
                <w:strike/>
                <w:sz w:val="18"/>
                <w:szCs w:val="18"/>
              </w:rPr>
            </w:pPr>
          </w:p>
        </w:tc>
        <w:tc>
          <w:tcPr>
            <w:tcW w:w="2943" w:type="dxa"/>
          </w:tcPr>
          <w:p w14:paraId="314D8FAD" w14:textId="2C903F20" w:rsidR="00D84C86" w:rsidRPr="008A7299" w:rsidRDefault="00D84C86" w:rsidP="00910FF3">
            <w:pPr>
              <w:ind w:right="57"/>
              <w:jc w:val="both"/>
              <w:rPr>
                <w:rFonts w:ascii="Bookman Old Style" w:hAnsi="Bookman Old Style"/>
                <w:color w:val="000000" w:themeColor="text1"/>
                <w:sz w:val="18"/>
                <w:szCs w:val="18"/>
                <w:lang w:val="es-ES"/>
              </w:rPr>
            </w:pPr>
            <w:r>
              <w:rPr>
                <w:rFonts w:ascii="Bookman Old Style" w:hAnsi="Bookman Old Style"/>
                <w:color w:val="000000" w:themeColor="text1"/>
                <w:sz w:val="18"/>
                <w:szCs w:val="18"/>
                <w:lang w:val="es-ES"/>
              </w:rPr>
              <w:t xml:space="preserve">Se </w:t>
            </w:r>
            <w:r w:rsidR="001E787F">
              <w:rPr>
                <w:rFonts w:ascii="Bookman Old Style" w:hAnsi="Bookman Old Style"/>
                <w:color w:val="000000" w:themeColor="text1"/>
                <w:sz w:val="18"/>
                <w:szCs w:val="18"/>
                <w:lang w:val="es-ES"/>
              </w:rPr>
              <w:t>cambia la palabra eliminan por prohíben</w:t>
            </w:r>
          </w:p>
        </w:tc>
      </w:tr>
      <w:tr w:rsidR="001C6854" w:rsidRPr="008A7299" w14:paraId="2D888FCB" w14:textId="77777777" w:rsidTr="00910FF3">
        <w:tc>
          <w:tcPr>
            <w:tcW w:w="2942" w:type="dxa"/>
          </w:tcPr>
          <w:p w14:paraId="4B40E56D" w14:textId="77777777" w:rsidR="001C6854" w:rsidRPr="00D84C86" w:rsidRDefault="001C6854" w:rsidP="00910FF3">
            <w:pPr>
              <w:ind w:left="57" w:right="57"/>
              <w:jc w:val="both"/>
              <w:rPr>
                <w:rFonts w:ascii="Bookman Old Style" w:hAnsi="Bookman Old Style" w:cs="Arial"/>
                <w:sz w:val="18"/>
                <w:szCs w:val="18"/>
                <w:lang w:val="es-ES"/>
              </w:rPr>
            </w:pPr>
          </w:p>
          <w:p w14:paraId="58BDBC8B" w14:textId="77777777" w:rsidR="00D84C86" w:rsidRPr="00D84C86" w:rsidRDefault="00D84C86" w:rsidP="00D84C86">
            <w:pPr>
              <w:jc w:val="both"/>
              <w:rPr>
                <w:rFonts w:ascii="Bookman Old Style" w:eastAsia="Bookman Old Style" w:hAnsi="Bookman Old Style" w:cs="Bookman Old Style"/>
                <w:color w:val="000000"/>
                <w:sz w:val="18"/>
                <w:szCs w:val="18"/>
              </w:rPr>
            </w:pPr>
            <w:r w:rsidRPr="00D84C86">
              <w:rPr>
                <w:rFonts w:ascii="Bookman Old Style" w:eastAsia="Bookman Old Style" w:hAnsi="Bookman Old Style" w:cs="Bookman Old Style"/>
                <w:b/>
                <w:color w:val="000000"/>
                <w:sz w:val="18"/>
                <w:szCs w:val="18"/>
              </w:rPr>
              <w:t>Artículo 3º</w:t>
            </w:r>
            <w:r w:rsidRPr="00D84C86">
              <w:rPr>
                <w:rFonts w:ascii="Bookman Old Style" w:eastAsia="Bookman Old Style" w:hAnsi="Bookman Old Style" w:cs="Bookman Old Style"/>
                <w:color w:val="000000"/>
                <w:sz w:val="18"/>
                <w:szCs w:val="18"/>
              </w:rPr>
              <w:t xml:space="preserve">. </w:t>
            </w:r>
            <w:r w:rsidRPr="00D84C86">
              <w:rPr>
                <w:rFonts w:ascii="Bookman Old Style" w:eastAsia="Bookman Old Style" w:hAnsi="Bookman Old Style" w:cs="Bookman Old Style"/>
                <w:b/>
                <w:color w:val="000000"/>
                <w:sz w:val="18"/>
                <w:szCs w:val="18"/>
              </w:rPr>
              <w:t>Prohibición.</w:t>
            </w:r>
            <w:r w:rsidRPr="00D84C86">
              <w:rPr>
                <w:rFonts w:ascii="Bookman Old Style" w:eastAsia="Bookman Old Style" w:hAnsi="Bookman Old Style" w:cs="Bookman Old Style"/>
                <w:color w:val="000000"/>
                <w:sz w:val="18"/>
                <w:szCs w:val="18"/>
              </w:rPr>
              <w:t xml:space="preserve"> Se prohíbe el desarrollo de las actividades de corridas de toros, rejoneo, novilladas, becerradas y tientas, encierros y suelta de vaquillas, festivales cómicos taurinos y de aficionados prácticos, así como los procedimientos utilizados en estos espectáculos, tanto en el ámbito público como en el privado.</w:t>
            </w:r>
          </w:p>
          <w:p w14:paraId="26B8D7B4" w14:textId="77777777" w:rsidR="001C6854" w:rsidRPr="00D84C86" w:rsidRDefault="001C6854" w:rsidP="00910FF3">
            <w:pPr>
              <w:ind w:left="57" w:right="57"/>
              <w:jc w:val="both"/>
              <w:rPr>
                <w:rFonts w:ascii="Bookman Old Style" w:hAnsi="Bookman Old Style"/>
                <w:sz w:val="18"/>
                <w:szCs w:val="18"/>
              </w:rPr>
            </w:pPr>
          </w:p>
          <w:p w14:paraId="1C37CF83" w14:textId="77777777" w:rsidR="001C6854" w:rsidRPr="00D84C86" w:rsidRDefault="001C6854" w:rsidP="00910FF3">
            <w:pPr>
              <w:ind w:left="57" w:right="57"/>
              <w:jc w:val="both"/>
              <w:rPr>
                <w:rFonts w:ascii="Bookman Old Style" w:hAnsi="Bookman Old Style"/>
                <w:color w:val="000000" w:themeColor="text1"/>
                <w:sz w:val="18"/>
                <w:szCs w:val="18"/>
                <w:lang w:val="es-ES"/>
              </w:rPr>
            </w:pPr>
          </w:p>
        </w:tc>
        <w:tc>
          <w:tcPr>
            <w:tcW w:w="2943" w:type="dxa"/>
          </w:tcPr>
          <w:p w14:paraId="24209422" w14:textId="77777777" w:rsidR="001C6854" w:rsidRPr="00D84C86" w:rsidRDefault="001C6854" w:rsidP="00910FF3">
            <w:pPr>
              <w:ind w:left="57" w:right="57"/>
              <w:jc w:val="both"/>
              <w:rPr>
                <w:rFonts w:ascii="Bookman Old Style" w:hAnsi="Bookman Old Style" w:cs="Arial"/>
                <w:b/>
                <w:strike/>
                <w:sz w:val="18"/>
                <w:szCs w:val="18"/>
                <w:lang w:val="es-ES"/>
              </w:rPr>
            </w:pPr>
          </w:p>
          <w:p w14:paraId="26141E49" w14:textId="77777777" w:rsidR="00D84C86" w:rsidRPr="00D84C86" w:rsidRDefault="00D84C86" w:rsidP="00D84C86">
            <w:pPr>
              <w:jc w:val="both"/>
              <w:rPr>
                <w:rFonts w:ascii="Bookman Old Style" w:eastAsia="Bookman Old Style" w:hAnsi="Bookman Old Style" w:cs="Bookman Old Style"/>
                <w:color w:val="000000"/>
                <w:sz w:val="18"/>
                <w:szCs w:val="18"/>
              </w:rPr>
            </w:pPr>
            <w:r w:rsidRPr="00D84C86">
              <w:rPr>
                <w:rFonts w:ascii="Bookman Old Style" w:eastAsia="Bookman Old Style" w:hAnsi="Bookman Old Style" w:cs="Bookman Old Style"/>
                <w:b/>
                <w:color w:val="000000"/>
                <w:sz w:val="18"/>
                <w:szCs w:val="18"/>
              </w:rPr>
              <w:t>Artículo 3º</w:t>
            </w:r>
            <w:r w:rsidRPr="00D84C86">
              <w:rPr>
                <w:rFonts w:ascii="Bookman Old Style" w:eastAsia="Bookman Old Style" w:hAnsi="Bookman Old Style" w:cs="Bookman Old Style"/>
                <w:color w:val="000000"/>
                <w:sz w:val="18"/>
                <w:szCs w:val="18"/>
              </w:rPr>
              <w:t xml:space="preserve">. </w:t>
            </w:r>
            <w:r w:rsidRPr="00D84C86">
              <w:rPr>
                <w:rFonts w:ascii="Bookman Old Style" w:eastAsia="Bookman Old Style" w:hAnsi="Bookman Old Style" w:cs="Bookman Old Style"/>
                <w:b/>
                <w:color w:val="000000"/>
                <w:sz w:val="18"/>
                <w:szCs w:val="18"/>
              </w:rPr>
              <w:t>Prohibición.</w:t>
            </w:r>
            <w:r w:rsidRPr="00D84C86">
              <w:rPr>
                <w:rFonts w:ascii="Bookman Old Style" w:eastAsia="Bookman Old Style" w:hAnsi="Bookman Old Style" w:cs="Bookman Old Style"/>
                <w:color w:val="000000"/>
                <w:sz w:val="18"/>
                <w:szCs w:val="18"/>
              </w:rPr>
              <w:t xml:space="preserve"> Se prohíbe el desarrollo de las actividades de corridas de toros, rejoneo, novilladas, becerradas y tientas, encierros y suelta de vaquillas, festivales cómicos taurinos y de aficionados prácticos, así como los procedimientos utilizados en estos espectáculos, tanto en el ámbito público como en el privado.</w:t>
            </w:r>
          </w:p>
          <w:p w14:paraId="7F49D4BB" w14:textId="77777777" w:rsidR="00D84C86" w:rsidRDefault="00D84C86" w:rsidP="00D84C86">
            <w:pPr>
              <w:jc w:val="both"/>
              <w:rPr>
                <w:rFonts w:ascii="Bookman Old Style" w:eastAsia="Bookman Old Style" w:hAnsi="Bookman Old Style" w:cs="Bookman Old Style"/>
                <w:b/>
                <w:color w:val="000000"/>
                <w:sz w:val="18"/>
                <w:szCs w:val="18"/>
              </w:rPr>
            </w:pPr>
          </w:p>
          <w:p w14:paraId="301EF4F5" w14:textId="77777777" w:rsidR="00D84C86" w:rsidRDefault="00D84C86" w:rsidP="00D84C86">
            <w:pPr>
              <w:jc w:val="both"/>
              <w:rPr>
                <w:rFonts w:ascii="Bookman Old Style" w:eastAsia="Bookman Old Style" w:hAnsi="Bookman Old Style" w:cs="Bookman Old Style"/>
                <w:b/>
                <w:color w:val="000000"/>
                <w:sz w:val="18"/>
                <w:szCs w:val="18"/>
              </w:rPr>
            </w:pPr>
          </w:p>
          <w:p w14:paraId="6CDA91B6" w14:textId="4E7315FA" w:rsidR="00D84C86" w:rsidRPr="00D84C86" w:rsidRDefault="00D84C86" w:rsidP="00D84C86">
            <w:pPr>
              <w:jc w:val="both"/>
              <w:rPr>
                <w:rFonts w:ascii="Bookman Old Style" w:eastAsia="Bookman Old Style" w:hAnsi="Bookman Old Style" w:cs="Bookman Old Style"/>
                <w:b/>
                <w:color w:val="000000"/>
                <w:sz w:val="18"/>
                <w:szCs w:val="18"/>
                <w:u w:val="single"/>
              </w:rPr>
            </w:pPr>
            <w:r w:rsidRPr="00D84C86">
              <w:rPr>
                <w:rFonts w:ascii="Bookman Old Style" w:eastAsia="Bookman Old Style" w:hAnsi="Bookman Old Style" w:cs="Bookman Old Style"/>
                <w:b/>
                <w:color w:val="000000"/>
                <w:sz w:val="18"/>
                <w:szCs w:val="18"/>
                <w:u w:val="single"/>
              </w:rPr>
              <w:t xml:space="preserve">Parágrafo. El incumplimiento de la prohibición prevista en el presente artículo, dará lugar a la imposición de las sanciones establecidas en el artículo 10 y 11 de la Ley 84 de 1989 modificados por el artículo 4 y 9, respectivamente, de la Ley 1774 de 2016 o las normas que la modifiquen, deroguen o sustituyan. </w:t>
            </w:r>
          </w:p>
          <w:p w14:paraId="6BCB879E" w14:textId="77777777" w:rsidR="001C6854" w:rsidRPr="00D84C86" w:rsidRDefault="001C6854" w:rsidP="00910FF3">
            <w:pPr>
              <w:pBdr>
                <w:top w:val="nil"/>
                <w:left w:val="nil"/>
                <w:bottom w:val="nil"/>
                <w:right w:val="nil"/>
                <w:between w:val="nil"/>
              </w:pBdr>
              <w:jc w:val="center"/>
              <w:rPr>
                <w:rFonts w:ascii="Bookman Old Style" w:eastAsia="Bookman Old Style" w:hAnsi="Bookman Old Style" w:cs="Bookman Old Style"/>
                <w:i/>
                <w:color w:val="000000"/>
                <w:sz w:val="18"/>
                <w:szCs w:val="18"/>
              </w:rPr>
            </w:pPr>
          </w:p>
          <w:p w14:paraId="7A1E9C93" w14:textId="77777777" w:rsidR="001C6854" w:rsidRPr="00D84C86" w:rsidRDefault="001C6854" w:rsidP="00910FF3">
            <w:pPr>
              <w:pBdr>
                <w:top w:val="nil"/>
                <w:left w:val="nil"/>
                <w:bottom w:val="nil"/>
                <w:right w:val="nil"/>
                <w:between w:val="nil"/>
              </w:pBdr>
              <w:jc w:val="center"/>
              <w:rPr>
                <w:rFonts w:ascii="Bookman Old Style" w:eastAsia="Bookman Old Style" w:hAnsi="Bookman Old Style" w:cs="Bookman Old Style"/>
                <w:i/>
                <w:color w:val="000000"/>
                <w:sz w:val="18"/>
                <w:szCs w:val="18"/>
              </w:rPr>
            </w:pPr>
          </w:p>
          <w:p w14:paraId="0369AE10" w14:textId="77777777" w:rsidR="001C6854" w:rsidRPr="00D84C86" w:rsidRDefault="001C6854" w:rsidP="00910FF3">
            <w:pPr>
              <w:pBdr>
                <w:top w:val="nil"/>
                <w:left w:val="nil"/>
                <w:bottom w:val="nil"/>
                <w:right w:val="nil"/>
                <w:between w:val="nil"/>
              </w:pBdr>
              <w:jc w:val="center"/>
              <w:rPr>
                <w:rFonts w:ascii="Bookman Old Style" w:hAnsi="Bookman Old Style"/>
                <w:b/>
                <w:strike/>
                <w:color w:val="000000" w:themeColor="text1"/>
                <w:sz w:val="18"/>
                <w:szCs w:val="18"/>
              </w:rPr>
            </w:pPr>
          </w:p>
        </w:tc>
        <w:tc>
          <w:tcPr>
            <w:tcW w:w="2943" w:type="dxa"/>
          </w:tcPr>
          <w:p w14:paraId="08475CA1" w14:textId="77777777" w:rsidR="001C6854" w:rsidRPr="008A7299" w:rsidRDefault="001C6854" w:rsidP="00910FF3">
            <w:pPr>
              <w:ind w:right="57"/>
              <w:jc w:val="both"/>
              <w:rPr>
                <w:rFonts w:ascii="Bookman Old Style" w:hAnsi="Bookman Old Style"/>
                <w:color w:val="000000" w:themeColor="text1"/>
                <w:sz w:val="18"/>
                <w:szCs w:val="18"/>
                <w:lang w:val="es-ES"/>
              </w:rPr>
            </w:pPr>
          </w:p>
          <w:p w14:paraId="42871083" w14:textId="77777777" w:rsidR="001C6854" w:rsidRDefault="001C6854" w:rsidP="00910FF3">
            <w:pPr>
              <w:ind w:right="57"/>
              <w:jc w:val="both"/>
              <w:rPr>
                <w:rFonts w:ascii="Bookman Old Style" w:hAnsi="Bookman Old Style"/>
                <w:color w:val="000000" w:themeColor="text1"/>
                <w:sz w:val="18"/>
                <w:szCs w:val="18"/>
                <w:lang w:val="es-ES"/>
              </w:rPr>
            </w:pPr>
          </w:p>
          <w:p w14:paraId="52915C23" w14:textId="4352B32F" w:rsidR="001C6854" w:rsidRPr="008A7299" w:rsidRDefault="001E787F" w:rsidP="00910FF3">
            <w:pPr>
              <w:ind w:right="57"/>
              <w:jc w:val="both"/>
              <w:rPr>
                <w:rFonts w:ascii="Bookman Old Style" w:hAnsi="Bookman Old Style"/>
                <w:color w:val="000000" w:themeColor="text1"/>
                <w:sz w:val="18"/>
                <w:szCs w:val="18"/>
                <w:lang w:val="es-ES"/>
              </w:rPr>
            </w:pPr>
            <w:r>
              <w:rPr>
                <w:rFonts w:ascii="Bookman Old Style" w:hAnsi="Bookman Old Style"/>
                <w:color w:val="000000" w:themeColor="text1"/>
                <w:sz w:val="18"/>
                <w:szCs w:val="18"/>
                <w:lang w:val="es-ES"/>
              </w:rPr>
              <w:t xml:space="preserve">Se adiciona un parágrafo que remite a la normativa existente en materia de protección y bienestar animal, para los casos de incumplimiento de la prohibición. </w:t>
            </w:r>
          </w:p>
        </w:tc>
      </w:tr>
    </w:tbl>
    <w:p w14:paraId="21BCAC18" w14:textId="77777777" w:rsidR="001C6854" w:rsidRPr="001C6854" w:rsidRDefault="001C6854" w:rsidP="001C6854">
      <w:pPr>
        <w:rPr>
          <w:rFonts w:eastAsia="Calibri"/>
          <w:lang w:val="es-ES"/>
        </w:rPr>
      </w:pPr>
    </w:p>
    <w:p w14:paraId="3BEDB51C" w14:textId="76820083" w:rsidR="00E56BBC" w:rsidRPr="00E56BBC" w:rsidRDefault="00E56BBC" w:rsidP="00E56BBC">
      <w:pPr>
        <w:pStyle w:val="Ttulo2"/>
        <w:keepNext w:val="0"/>
        <w:keepLines w:val="0"/>
        <w:widowControl w:val="0"/>
        <w:numPr>
          <w:ilvl w:val="0"/>
          <w:numId w:val="8"/>
        </w:numPr>
        <w:spacing w:before="0" w:after="0"/>
        <w:rPr>
          <w:rFonts w:ascii="Bookman Old Style" w:eastAsia="Calibri" w:hAnsi="Bookman Old Style" w:cs="Calibri"/>
          <w:sz w:val="22"/>
          <w:szCs w:val="22"/>
        </w:rPr>
      </w:pPr>
      <w:r w:rsidRPr="00E56BBC">
        <w:rPr>
          <w:rFonts w:ascii="Bookman Old Style" w:eastAsia="Calibri" w:hAnsi="Bookman Old Style" w:cs="Calibri"/>
          <w:sz w:val="22"/>
          <w:szCs w:val="22"/>
        </w:rPr>
        <w:t>PROPOSICIÓN.</w:t>
      </w:r>
    </w:p>
    <w:p w14:paraId="2949D7E1" w14:textId="77777777" w:rsidR="00E56BBC" w:rsidRPr="00E56BBC" w:rsidRDefault="00E56BBC" w:rsidP="00E56BBC">
      <w:pPr>
        <w:jc w:val="both"/>
        <w:rPr>
          <w:rFonts w:ascii="Bookman Old Style" w:hAnsi="Bookman Old Style" w:cs="Arial"/>
          <w:sz w:val="22"/>
          <w:szCs w:val="22"/>
        </w:rPr>
      </w:pPr>
    </w:p>
    <w:p w14:paraId="10EB8B03" w14:textId="3C2D6DFD" w:rsidR="00E56BBC" w:rsidRPr="00E56BBC" w:rsidRDefault="00E56BBC" w:rsidP="00E56BBC">
      <w:pPr>
        <w:jc w:val="both"/>
        <w:rPr>
          <w:rFonts w:ascii="Bookman Old Style" w:hAnsi="Bookman Old Style" w:cs="Arial"/>
          <w:i/>
          <w:sz w:val="22"/>
          <w:szCs w:val="22"/>
        </w:rPr>
      </w:pPr>
      <w:r w:rsidRPr="00E56BBC">
        <w:rPr>
          <w:rFonts w:ascii="Bookman Old Style" w:hAnsi="Bookman Old Style" w:cs="Arial"/>
          <w:sz w:val="22"/>
          <w:szCs w:val="22"/>
        </w:rPr>
        <w:t xml:space="preserve">Con fundamento en las anteriores consideraciones, presento </w:t>
      </w:r>
      <w:r w:rsidRPr="00E56BBC">
        <w:rPr>
          <w:rFonts w:ascii="Bookman Old Style" w:hAnsi="Bookman Old Style" w:cs="Arial"/>
          <w:b/>
          <w:sz w:val="22"/>
          <w:szCs w:val="22"/>
        </w:rPr>
        <w:t>ponencia positiva</w:t>
      </w:r>
      <w:r w:rsidRPr="00E56BBC">
        <w:rPr>
          <w:rFonts w:ascii="Bookman Old Style" w:hAnsi="Bookman Old Style" w:cs="Arial"/>
          <w:sz w:val="22"/>
          <w:szCs w:val="22"/>
        </w:rPr>
        <w:t xml:space="preserve"> y solicito a los Honorables Representantes dar </w:t>
      </w:r>
      <w:r w:rsidR="001E787F">
        <w:rPr>
          <w:rFonts w:ascii="Bookman Old Style" w:hAnsi="Bookman Old Style" w:cs="Arial"/>
          <w:sz w:val="22"/>
          <w:szCs w:val="22"/>
        </w:rPr>
        <w:t>segundo</w:t>
      </w:r>
      <w:r w:rsidRPr="00E56BBC">
        <w:rPr>
          <w:rFonts w:ascii="Bookman Old Style" w:hAnsi="Bookman Old Style" w:cs="Arial"/>
          <w:sz w:val="22"/>
          <w:szCs w:val="22"/>
        </w:rPr>
        <w:t xml:space="preserve"> </w:t>
      </w:r>
      <w:r w:rsidR="001E787F">
        <w:rPr>
          <w:rFonts w:ascii="Bookman Old Style" w:hAnsi="Bookman Old Style" w:cs="Arial"/>
          <w:sz w:val="22"/>
          <w:szCs w:val="22"/>
        </w:rPr>
        <w:t>d</w:t>
      </w:r>
      <w:r w:rsidRPr="00E56BBC">
        <w:rPr>
          <w:rFonts w:ascii="Bookman Old Style" w:hAnsi="Bookman Old Style" w:cs="Arial"/>
          <w:sz w:val="22"/>
          <w:szCs w:val="22"/>
        </w:rPr>
        <w:t xml:space="preserve">ebate al </w:t>
      </w:r>
      <w:r>
        <w:rPr>
          <w:rFonts w:ascii="Bookman Old Style" w:hAnsi="Bookman Old Style" w:cs="Arial"/>
          <w:bCs/>
          <w:sz w:val="22"/>
          <w:szCs w:val="22"/>
          <w:lang w:val="es-ES_tradnl"/>
        </w:rPr>
        <w:t>Proyecto de Ley</w:t>
      </w:r>
      <w:r w:rsidRPr="00E56BBC">
        <w:rPr>
          <w:rFonts w:ascii="Bookman Old Style" w:hAnsi="Bookman Old Style" w:cs="Arial"/>
          <w:bCs/>
          <w:sz w:val="22"/>
          <w:szCs w:val="22"/>
          <w:lang w:val="es-ES_tradnl"/>
        </w:rPr>
        <w:t xml:space="preserve"> </w:t>
      </w:r>
      <w:r w:rsidRPr="00E56BBC">
        <w:rPr>
          <w:rFonts w:ascii="Bookman Old Style" w:hAnsi="Bookman Old Style" w:cs="Arial"/>
          <w:bCs/>
          <w:sz w:val="22"/>
          <w:szCs w:val="22"/>
          <w:lang w:val="es-ES_tradnl"/>
        </w:rPr>
        <w:lastRenderedPageBreak/>
        <w:t>número 00</w:t>
      </w:r>
      <w:r>
        <w:rPr>
          <w:rFonts w:ascii="Bookman Old Style" w:hAnsi="Bookman Old Style" w:cs="Arial"/>
          <w:bCs/>
          <w:sz w:val="22"/>
          <w:szCs w:val="22"/>
          <w:lang w:val="es-ES_tradnl"/>
        </w:rPr>
        <w:t>7</w:t>
      </w:r>
      <w:r w:rsidRPr="00E56BBC">
        <w:rPr>
          <w:rFonts w:ascii="Bookman Old Style" w:hAnsi="Bookman Old Style" w:cs="Arial"/>
          <w:bCs/>
          <w:sz w:val="22"/>
          <w:szCs w:val="22"/>
          <w:lang w:val="es-ES_tradnl"/>
        </w:rPr>
        <w:t xml:space="preserve"> de 2022 Cámara</w:t>
      </w:r>
      <w:r w:rsidRPr="00E56BBC">
        <w:rPr>
          <w:rFonts w:ascii="Bookman Old Style" w:hAnsi="Bookman Old Style" w:cs="Arial"/>
          <w:sz w:val="22"/>
          <w:szCs w:val="22"/>
          <w:lang w:val="es-ES"/>
        </w:rPr>
        <w:t xml:space="preserve"> </w:t>
      </w:r>
      <w:r>
        <w:rPr>
          <w:rFonts w:ascii="Bookman Old Style" w:hAnsi="Bookman Old Style" w:cs="Arial"/>
          <w:sz w:val="22"/>
          <w:szCs w:val="22"/>
          <w:lang w:val="es-ES"/>
        </w:rPr>
        <w:t>“</w:t>
      </w:r>
      <w:r w:rsidRPr="00E56BBC">
        <w:rPr>
          <w:rFonts w:ascii="Bookman Old Style" w:hAnsi="Bookman Old Style" w:cs="Arial"/>
          <w:bCs/>
          <w:i/>
          <w:sz w:val="22"/>
          <w:szCs w:val="22"/>
        </w:rPr>
        <w:t xml:space="preserve">Por el cual se </w:t>
      </w:r>
      <w:r w:rsidR="009729E7">
        <w:rPr>
          <w:rFonts w:ascii="Bookman Old Style" w:hAnsi="Bookman Old Style" w:cs="Arial"/>
          <w:bCs/>
          <w:i/>
          <w:sz w:val="22"/>
          <w:szCs w:val="22"/>
        </w:rPr>
        <w:t>prohíbe</w:t>
      </w:r>
      <w:r w:rsidRPr="00E56BBC">
        <w:rPr>
          <w:rFonts w:ascii="Bookman Old Style" w:hAnsi="Bookman Old Style" w:cs="Arial"/>
          <w:bCs/>
          <w:i/>
          <w:sz w:val="22"/>
          <w:szCs w:val="22"/>
        </w:rPr>
        <w:t>n las prácticas taurinas en el territorio nacional y se dictan otras disposiciones</w:t>
      </w:r>
      <w:r>
        <w:rPr>
          <w:rFonts w:ascii="Bookman Old Style" w:hAnsi="Bookman Old Style" w:cs="Arial"/>
          <w:bCs/>
          <w:i/>
          <w:sz w:val="22"/>
          <w:szCs w:val="22"/>
        </w:rPr>
        <w:t>”.</w:t>
      </w:r>
    </w:p>
    <w:p w14:paraId="7922306A" w14:textId="4AB7FCE0" w:rsidR="00E56BBC" w:rsidRPr="00EA2C95" w:rsidRDefault="00E56BBC">
      <w:pPr>
        <w:jc w:val="both"/>
        <w:rPr>
          <w:rFonts w:ascii="Bookman Old Style" w:eastAsia="Bookman Old Style" w:hAnsi="Bookman Old Style" w:cs="Bookman Old Style"/>
          <w:color w:val="000000"/>
          <w:sz w:val="22"/>
          <w:szCs w:val="22"/>
        </w:rPr>
      </w:pPr>
    </w:p>
    <w:p w14:paraId="7398BF0A" w14:textId="77777777" w:rsidR="00756FAE" w:rsidRPr="00EA2C95" w:rsidRDefault="00EA2C95">
      <w:pPr>
        <w:jc w:val="both"/>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Cordialmente,</w:t>
      </w:r>
    </w:p>
    <w:p w14:paraId="1908AB78" w14:textId="77777777" w:rsidR="0047400B" w:rsidRPr="00EA2C95" w:rsidRDefault="0047400B" w:rsidP="0047400B">
      <w:pPr>
        <w:jc w:val="both"/>
        <w:rPr>
          <w:rFonts w:ascii="Bookman Old Style" w:eastAsia="Bookman Old Style" w:hAnsi="Bookman Old Style" w:cs="Bookman Old Style"/>
          <w:color w:val="000000"/>
          <w:sz w:val="22"/>
          <w:szCs w:val="22"/>
        </w:rPr>
      </w:pPr>
    </w:p>
    <w:p w14:paraId="7CA6C9B8" w14:textId="77777777" w:rsidR="0047400B" w:rsidRPr="00EA2C95" w:rsidRDefault="0047400B" w:rsidP="0047400B">
      <w:pPr>
        <w:tabs>
          <w:tab w:val="right" w:pos="8838"/>
        </w:tabs>
        <w:jc w:val="center"/>
        <w:rPr>
          <w:rFonts w:ascii="Bookman Old Style" w:eastAsia="Bookman Old Style" w:hAnsi="Bookman Old Style" w:cs="Bookman Old Style"/>
          <w:b/>
          <w:sz w:val="22"/>
          <w:szCs w:val="22"/>
        </w:rPr>
      </w:pPr>
    </w:p>
    <w:p w14:paraId="2595A1B7" w14:textId="77777777" w:rsidR="0047400B" w:rsidRPr="00EA2C95" w:rsidRDefault="0047400B" w:rsidP="0047400B">
      <w:pPr>
        <w:tabs>
          <w:tab w:val="right" w:pos="8838"/>
        </w:tabs>
        <w:jc w:val="center"/>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JUAN CARLOS LOZADA VARGAS</w:t>
      </w:r>
    </w:p>
    <w:p w14:paraId="7869A558" w14:textId="77777777" w:rsidR="0047400B" w:rsidRPr="00EA2C95" w:rsidRDefault="0047400B" w:rsidP="0047400B">
      <w:pPr>
        <w:tabs>
          <w:tab w:val="right" w:pos="8838"/>
        </w:tabs>
        <w:jc w:val="center"/>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Representante a la Cámara por Bogotá</w:t>
      </w:r>
    </w:p>
    <w:p w14:paraId="05F80BE2" w14:textId="619BD8ED" w:rsidR="00E56BBC" w:rsidRDefault="00E56BBC" w:rsidP="00605F33">
      <w:pPr>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Ponente.</w:t>
      </w:r>
    </w:p>
    <w:p w14:paraId="32DDDC62" w14:textId="045C5EBE" w:rsidR="00605F33" w:rsidRDefault="00605F33" w:rsidP="00605F33">
      <w:pPr>
        <w:jc w:val="center"/>
        <w:rPr>
          <w:rFonts w:ascii="Bookman Old Style" w:eastAsia="Bookman Old Style" w:hAnsi="Bookman Old Style" w:cs="Bookman Old Style"/>
          <w:color w:val="000000"/>
          <w:sz w:val="22"/>
          <w:szCs w:val="22"/>
        </w:rPr>
      </w:pPr>
    </w:p>
    <w:p w14:paraId="66AB48E8" w14:textId="5418DABA" w:rsidR="00605F33" w:rsidRDefault="00605F33" w:rsidP="00605F33">
      <w:pPr>
        <w:jc w:val="center"/>
        <w:rPr>
          <w:rFonts w:ascii="Bookman Old Style" w:eastAsia="Bookman Old Style" w:hAnsi="Bookman Old Style" w:cs="Bookman Old Style"/>
          <w:color w:val="000000"/>
          <w:sz w:val="22"/>
          <w:szCs w:val="22"/>
        </w:rPr>
      </w:pPr>
    </w:p>
    <w:p w14:paraId="588BE15E" w14:textId="77777777" w:rsidR="00605F33" w:rsidRDefault="00605F33" w:rsidP="00605F33">
      <w:pPr>
        <w:jc w:val="center"/>
        <w:rPr>
          <w:rFonts w:ascii="Bookman Old Style" w:eastAsia="Bookman Old Style" w:hAnsi="Bookman Old Style" w:cs="Bookman Old Style"/>
          <w:color w:val="000000"/>
          <w:sz w:val="22"/>
          <w:szCs w:val="22"/>
        </w:rPr>
      </w:pPr>
    </w:p>
    <w:p w14:paraId="70FA37E7" w14:textId="77777777" w:rsidR="00E56BBC" w:rsidRPr="00EA2C95" w:rsidRDefault="00E56BBC" w:rsidP="005A4FEA">
      <w:pPr>
        <w:rPr>
          <w:rFonts w:ascii="Bookman Old Style" w:eastAsia="Bookman Old Style" w:hAnsi="Bookman Old Style" w:cs="Bookman Old Style"/>
          <w:sz w:val="22"/>
          <w:szCs w:val="22"/>
        </w:rPr>
      </w:pPr>
    </w:p>
    <w:p w14:paraId="1F67F7E3" w14:textId="56351874" w:rsidR="005A4FEA" w:rsidRPr="00EA2C95" w:rsidRDefault="00E56BBC" w:rsidP="005A4FEA">
      <w:pPr>
        <w:pBdr>
          <w:top w:val="nil"/>
          <w:left w:val="nil"/>
          <w:bottom w:val="nil"/>
          <w:right w:val="nil"/>
          <w:between w:val="nil"/>
        </w:pBdr>
        <w:ind w:right="20"/>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9</w:t>
      </w:r>
      <w:r w:rsidRPr="00E56BBC">
        <w:rPr>
          <w:rFonts w:ascii="Bookman Old Style" w:eastAsia="Bookman Old Style" w:hAnsi="Bookman Old Style" w:cs="Bookman Old Style"/>
          <w:b/>
          <w:color w:val="000000"/>
          <w:sz w:val="22"/>
          <w:szCs w:val="22"/>
        </w:rPr>
        <w:t>.</w:t>
      </w:r>
      <w:r w:rsidRPr="00E56BBC">
        <w:rPr>
          <w:rFonts w:ascii="Bookman Old Style" w:eastAsia="Bookman Old Style" w:hAnsi="Bookman Old Style" w:cs="Bookman Old Style"/>
          <w:b/>
          <w:color w:val="000000"/>
          <w:sz w:val="22"/>
          <w:szCs w:val="22"/>
        </w:rPr>
        <w:tab/>
        <w:t xml:space="preserve">TEXTO PROPUESTO PARA </w:t>
      </w:r>
      <w:r w:rsidR="00725646">
        <w:rPr>
          <w:rFonts w:ascii="Bookman Old Style" w:eastAsia="Bookman Old Style" w:hAnsi="Bookman Old Style" w:cs="Bookman Old Style"/>
          <w:b/>
          <w:color w:val="000000"/>
          <w:sz w:val="22"/>
          <w:szCs w:val="22"/>
        </w:rPr>
        <w:t>SEGUNDO</w:t>
      </w:r>
      <w:r w:rsidRPr="00E56BBC">
        <w:rPr>
          <w:rFonts w:ascii="Bookman Old Style" w:eastAsia="Bookman Old Style" w:hAnsi="Bookman Old Style" w:cs="Bookman Old Style"/>
          <w:b/>
          <w:color w:val="000000"/>
          <w:sz w:val="22"/>
          <w:szCs w:val="22"/>
        </w:rPr>
        <w:t xml:space="preserve"> DEBATE</w:t>
      </w:r>
      <w:r w:rsidR="00FF5D6D">
        <w:rPr>
          <w:rFonts w:ascii="Bookman Old Style" w:eastAsia="Bookman Old Style" w:hAnsi="Bookman Old Style" w:cs="Bookman Old Style"/>
          <w:b/>
          <w:color w:val="000000"/>
          <w:sz w:val="22"/>
          <w:szCs w:val="22"/>
        </w:rPr>
        <w:t xml:space="preserve"> AL</w:t>
      </w:r>
      <w:r w:rsidRPr="00E56BBC">
        <w:rPr>
          <w:rFonts w:ascii="Bookman Old Style" w:eastAsia="Bookman Old Style" w:hAnsi="Bookman Old Style" w:cs="Bookman Old Style"/>
          <w:b/>
          <w:color w:val="000000"/>
          <w:sz w:val="22"/>
          <w:szCs w:val="22"/>
        </w:rPr>
        <w:t xml:space="preserve"> </w:t>
      </w:r>
      <w:r w:rsidR="00FF5D6D">
        <w:rPr>
          <w:rFonts w:ascii="Bookman Old Style" w:eastAsia="Bookman Old Style" w:hAnsi="Bookman Old Style" w:cs="Bookman Old Style"/>
          <w:b/>
          <w:color w:val="000000"/>
          <w:sz w:val="22"/>
          <w:szCs w:val="22"/>
        </w:rPr>
        <w:t>PROYECTO DE LEY NÚMERO 007</w:t>
      </w:r>
      <w:r w:rsidR="005A4FEA" w:rsidRPr="00EA2C95">
        <w:rPr>
          <w:rFonts w:ascii="Bookman Old Style" w:eastAsia="Bookman Old Style" w:hAnsi="Bookman Old Style" w:cs="Bookman Old Style"/>
          <w:b/>
          <w:color w:val="000000"/>
          <w:sz w:val="22"/>
          <w:szCs w:val="22"/>
        </w:rPr>
        <w:t xml:space="preserve"> DE 2022 CÁMARA.</w:t>
      </w:r>
    </w:p>
    <w:p w14:paraId="1F8E3F5C" w14:textId="1A9DAB52" w:rsidR="005A4FEA" w:rsidRPr="00EA2C95" w:rsidRDefault="00FF5D6D" w:rsidP="00FF5D6D">
      <w:pPr>
        <w:pBdr>
          <w:top w:val="nil"/>
          <w:left w:val="nil"/>
          <w:bottom w:val="nil"/>
          <w:right w:val="nil"/>
          <w:between w:val="nil"/>
        </w:pBdr>
        <w:jc w:val="center"/>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r w:rsidR="005A4FEA" w:rsidRPr="00EA2C95">
        <w:rPr>
          <w:rFonts w:ascii="Bookman Old Style" w:eastAsia="Bookman Old Style" w:hAnsi="Bookman Old Style" w:cs="Bookman Old Style"/>
          <w:i/>
          <w:color w:val="000000"/>
          <w:sz w:val="22"/>
          <w:szCs w:val="22"/>
        </w:rPr>
        <w:t xml:space="preserve">“Por el cual se </w:t>
      </w:r>
      <w:r w:rsidR="009729E7">
        <w:rPr>
          <w:rFonts w:ascii="Bookman Old Style" w:eastAsia="Bookman Old Style" w:hAnsi="Bookman Old Style" w:cs="Bookman Old Style"/>
          <w:i/>
          <w:color w:val="000000"/>
          <w:sz w:val="22"/>
          <w:szCs w:val="22"/>
        </w:rPr>
        <w:t>prohíben</w:t>
      </w:r>
      <w:r w:rsidR="005A4FEA" w:rsidRPr="00EA2C95">
        <w:rPr>
          <w:rFonts w:ascii="Bookman Old Style" w:eastAsia="Bookman Old Style" w:hAnsi="Bookman Old Style" w:cs="Bookman Old Style"/>
          <w:i/>
          <w:color w:val="000000"/>
          <w:sz w:val="22"/>
          <w:szCs w:val="22"/>
        </w:rPr>
        <w:t xml:space="preserve"> las prácticas taurinas en el territorio nacional </w:t>
      </w:r>
    </w:p>
    <w:p w14:paraId="2F217361" w14:textId="77777777" w:rsidR="005A4FEA" w:rsidRPr="00EA2C95" w:rsidRDefault="005A4FEA" w:rsidP="005A4FEA">
      <w:pPr>
        <w:pBdr>
          <w:top w:val="nil"/>
          <w:left w:val="nil"/>
          <w:bottom w:val="nil"/>
          <w:right w:val="nil"/>
          <w:between w:val="nil"/>
        </w:pBdr>
        <w:jc w:val="center"/>
        <w:rPr>
          <w:rFonts w:ascii="Bookman Old Style" w:eastAsia="Bookman Old Style" w:hAnsi="Bookman Old Style" w:cs="Bookman Old Style"/>
          <w:i/>
          <w:color w:val="000000"/>
          <w:sz w:val="22"/>
          <w:szCs w:val="22"/>
        </w:rPr>
      </w:pPr>
      <w:r w:rsidRPr="00EA2C95">
        <w:rPr>
          <w:rFonts w:ascii="Bookman Old Style" w:eastAsia="Bookman Old Style" w:hAnsi="Bookman Old Style" w:cs="Bookman Old Style"/>
          <w:i/>
          <w:color w:val="000000"/>
          <w:sz w:val="22"/>
          <w:szCs w:val="22"/>
        </w:rPr>
        <w:t>y se dictan otras disposiciones”</w:t>
      </w:r>
    </w:p>
    <w:p w14:paraId="31542A9A" w14:textId="77777777" w:rsidR="005A4FEA" w:rsidRPr="00EA2C95" w:rsidRDefault="005A4FEA" w:rsidP="00D84C86">
      <w:pPr>
        <w:pBdr>
          <w:top w:val="nil"/>
          <w:left w:val="nil"/>
          <w:bottom w:val="nil"/>
          <w:right w:val="nil"/>
          <w:between w:val="nil"/>
        </w:pBdr>
        <w:ind w:right="40"/>
        <w:jc w:val="center"/>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04F33209" w14:textId="77777777" w:rsidR="005A4FEA" w:rsidRPr="00EA2C95" w:rsidRDefault="005A4FEA" w:rsidP="00D84C86">
      <w:pPr>
        <w:pBdr>
          <w:top w:val="nil"/>
          <w:left w:val="nil"/>
          <w:bottom w:val="nil"/>
          <w:right w:val="nil"/>
          <w:between w:val="nil"/>
        </w:pBdr>
        <w:ind w:right="40"/>
        <w:jc w:val="center"/>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El Congreso de Colombia</w:t>
      </w:r>
    </w:p>
    <w:p w14:paraId="00D33FD1" w14:textId="77777777" w:rsidR="005A4FEA" w:rsidRPr="00EA2C95" w:rsidRDefault="005A4FEA" w:rsidP="00D84C86">
      <w:pPr>
        <w:pBdr>
          <w:top w:val="nil"/>
          <w:left w:val="nil"/>
          <w:bottom w:val="nil"/>
          <w:right w:val="nil"/>
          <w:between w:val="nil"/>
        </w:pBdr>
        <w:ind w:right="40"/>
        <w:jc w:val="center"/>
        <w:rPr>
          <w:rFonts w:ascii="Bookman Old Style" w:eastAsia="Bookman Old Style" w:hAnsi="Bookman Old Style" w:cs="Bookman Old Style"/>
          <w:color w:val="000000"/>
          <w:sz w:val="22"/>
          <w:szCs w:val="22"/>
        </w:rPr>
      </w:pPr>
    </w:p>
    <w:p w14:paraId="4343DF69" w14:textId="77777777" w:rsidR="005A4FEA" w:rsidRPr="00EA2C95" w:rsidRDefault="005A4FEA" w:rsidP="00D84C86">
      <w:pPr>
        <w:pBdr>
          <w:top w:val="nil"/>
          <w:left w:val="nil"/>
          <w:bottom w:val="nil"/>
          <w:right w:val="nil"/>
          <w:between w:val="nil"/>
        </w:pBdr>
        <w:ind w:right="40"/>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 xml:space="preserve"> </w:t>
      </w:r>
    </w:p>
    <w:p w14:paraId="1DDE989D" w14:textId="77777777" w:rsidR="005A4FEA" w:rsidRPr="00EA2C95" w:rsidRDefault="005A4FEA" w:rsidP="00D84C86">
      <w:pPr>
        <w:pBdr>
          <w:top w:val="nil"/>
          <w:left w:val="nil"/>
          <w:bottom w:val="nil"/>
          <w:right w:val="nil"/>
          <w:between w:val="nil"/>
        </w:pBdr>
        <w:ind w:right="40"/>
        <w:jc w:val="center"/>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DECRETA:</w:t>
      </w:r>
    </w:p>
    <w:p w14:paraId="7F917953" w14:textId="77777777" w:rsidR="005A4FEA" w:rsidRPr="00EA2C95" w:rsidRDefault="005A4FEA" w:rsidP="005A4FEA">
      <w:pPr>
        <w:pBdr>
          <w:top w:val="nil"/>
          <w:left w:val="nil"/>
          <w:bottom w:val="nil"/>
          <w:right w:val="nil"/>
          <w:between w:val="nil"/>
        </w:pBdr>
        <w:rPr>
          <w:rFonts w:ascii="Bookman Old Style" w:eastAsia="Bookman Old Style" w:hAnsi="Bookman Old Style" w:cs="Bookman Old Style"/>
          <w:color w:val="000000"/>
          <w:sz w:val="22"/>
          <w:szCs w:val="22"/>
        </w:rPr>
      </w:pPr>
    </w:p>
    <w:p w14:paraId="0A9218B0" w14:textId="77777777" w:rsidR="00725646" w:rsidRPr="00725646" w:rsidRDefault="00725646" w:rsidP="00725646">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25646">
        <w:rPr>
          <w:rFonts w:ascii="Bookman Old Style" w:eastAsia="Bookman Old Style" w:hAnsi="Bookman Old Style" w:cs="Bookman Old Style"/>
          <w:b/>
          <w:color w:val="000000"/>
          <w:sz w:val="22"/>
          <w:szCs w:val="22"/>
        </w:rPr>
        <w:t>Artículo 1</w:t>
      </w:r>
      <w:r w:rsidRPr="00725646">
        <w:rPr>
          <w:rFonts w:ascii="Bookman Old Style" w:eastAsia="Bookman Old Style" w:hAnsi="Bookman Old Style" w:cs="Bookman Old Style"/>
          <w:color w:val="000000"/>
          <w:sz w:val="22"/>
          <w:szCs w:val="22"/>
        </w:rPr>
        <w:t xml:space="preserve">. </w:t>
      </w:r>
      <w:r w:rsidRPr="00725646">
        <w:rPr>
          <w:rFonts w:ascii="Bookman Old Style" w:eastAsia="Bookman Old Style" w:hAnsi="Bookman Old Style" w:cs="Bookman Old Style"/>
          <w:b/>
          <w:color w:val="000000"/>
          <w:sz w:val="22"/>
          <w:szCs w:val="22"/>
        </w:rPr>
        <w:t>Objeto</w:t>
      </w:r>
      <w:r w:rsidRPr="00725646">
        <w:rPr>
          <w:rFonts w:ascii="Bookman Old Style" w:eastAsia="Bookman Old Style" w:hAnsi="Bookman Old Style" w:cs="Bookman Old Style"/>
          <w:color w:val="000000"/>
          <w:sz w:val="22"/>
          <w:szCs w:val="22"/>
        </w:rPr>
        <w:t>. La presente ley tiene por objeto avanzar en el reconocimiento de los animales como seres sintientes, sujetos de una protección constitucional y legal especial, a través de la prohibición de las prácticas taurinas en todo el territorio nacional, como expresiones de maltrato, crueldad y violencia.</w:t>
      </w:r>
    </w:p>
    <w:p w14:paraId="21C9D6A8" w14:textId="77777777" w:rsidR="00725646" w:rsidRPr="00725646" w:rsidRDefault="00725646" w:rsidP="00725646">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73C9FC8" w14:textId="77777777" w:rsidR="00725646" w:rsidRPr="00725646" w:rsidRDefault="00725646" w:rsidP="00725646">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25646">
        <w:rPr>
          <w:rFonts w:ascii="Bookman Old Style" w:eastAsia="Bookman Old Style" w:hAnsi="Bookman Old Style" w:cs="Bookman Old Style"/>
          <w:b/>
          <w:color w:val="000000"/>
          <w:sz w:val="22"/>
          <w:szCs w:val="22"/>
        </w:rPr>
        <w:t>Artículo 2º.</w:t>
      </w:r>
      <w:r w:rsidRPr="00725646">
        <w:rPr>
          <w:rFonts w:ascii="Bookman Old Style" w:eastAsia="Bookman Old Style" w:hAnsi="Bookman Old Style" w:cs="Bookman Old Style"/>
          <w:color w:val="000000"/>
          <w:sz w:val="22"/>
          <w:szCs w:val="22"/>
        </w:rPr>
        <w:t xml:space="preserve"> </w:t>
      </w:r>
      <w:r w:rsidRPr="00725646">
        <w:rPr>
          <w:rFonts w:ascii="Bookman Old Style" w:eastAsia="Bookman Old Style" w:hAnsi="Bookman Old Style" w:cs="Bookman Old Style"/>
          <w:b/>
          <w:color w:val="000000"/>
          <w:sz w:val="22"/>
          <w:szCs w:val="22"/>
        </w:rPr>
        <w:t>Ámbito de aplicación</w:t>
      </w:r>
      <w:r w:rsidRPr="00725646">
        <w:rPr>
          <w:rFonts w:ascii="Bookman Old Style" w:eastAsia="Bookman Old Style" w:hAnsi="Bookman Old Style" w:cs="Bookman Old Style"/>
          <w:color w:val="000000"/>
          <w:sz w:val="22"/>
          <w:szCs w:val="22"/>
        </w:rPr>
        <w:t>. Las disposiciones contenidas en la presente ley serán aplicables en todo el territorio nacional.</w:t>
      </w:r>
      <w:r w:rsidRPr="00725646">
        <w:rPr>
          <w:rFonts w:ascii="Bookman Old Style" w:eastAsia="Bookman Old Style" w:hAnsi="Bookman Old Style" w:cs="Bookman Old Style"/>
          <w:color w:val="000000"/>
          <w:sz w:val="22"/>
          <w:szCs w:val="22"/>
        </w:rPr>
        <w:tab/>
      </w:r>
    </w:p>
    <w:p w14:paraId="4BCA90B3" w14:textId="77777777" w:rsidR="00725646" w:rsidRPr="00725646" w:rsidRDefault="00725646" w:rsidP="00725646">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25646">
        <w:rPr>
          <w:rFonts w:ascii="Bookman Old Style" w:eastAsia="Bookman Old Style" w:hAnsi="Bookman Old Style" w:cs="Bookman Old Style"/>
          <w:color w:val="000000"/>
          <w:sz w:val="22"/>
          <w:szCs w:val="22"/>
        </w:rPr>
        <w:t xml:space="preserve"> </w:t>
      </w:r>
    </w:p>
    <w:p w14:paraId="351E0316" w14:textId="5F6DDD86" w:rsidR="00725646" w:rsidRPr="00725646" w:rsidRDefault="00725646" w:rsidP="00725646">
      <w:pPr>
        <w:jc w:val="both"/>
        <w:rPr>
          <w:rFonts w:ascii="Bookman Old Style" w:eastAsia="Bookman Old Style" w:hAnsi="Bookman Old Style" w:cs="Bookman Old Style"/>
          <w:color w:val="000000"/>
          <w:sz w:val="22"/>
          <w:szCs w:val="22"/>
        </w:rPr>
      </w:pPr>
      <w:r w:rsidRPr="00725646">
        <w:rPr>
          <w:rFonts w:ascii="Bookman Old Style" w:eastAsia="Bookman Old Style" w:hAnsi="Bookman Old Style" w:cs="Bookman Old Style"/>
          <w:b/>
          <w:color w:val="000000"/>
          <w:sz w:val="22"/>
          <w:szCs w:val="22"/>
        </w:rPr>
        <w:t>Artículo 3º</w:t>
      </w:r>
      <w:r w:rsidRPr="00725646">
        <w:rPr>
          <w:rFonts w:ascii="Bookman Old Style" w:eastAsia="Bookman Old Style" w:hAnsi="Bookman Old Style" w:cs="Bookman Old Style"/>
          <w:color w:val="000000"/>
          <w:sz w:val="22"/>
          <w:szCs w:val="22"/>
        </w:rPr>
        <w:t xml:space="preserve">. </w:t>
      </w:r>
      <w:r w:rsidRPr="00725646">
        <w:rPr>
          <w:rFonts w:ascii="Bookman Old Style" w:eastAsia="Bookman Old Style" w:hAnsi="Bookman Old Style" w:cs="Bookman Old Style"/>
          <w:b/>
          <w:color w:val="000000"/>
          <w:sz w:val="22"/>
          <w:szCs w:val="22"/>
        </w:rPr>
        <w:t>Prohibición.</w:t>
      </w:r>
      <w:r w:rsidRPr="00725646">
        <w:rPr>
          <w:rFonts w:ascii="Bookman Old Style" w:eastAsia="Bookman Old Style" w:hAnsi="Bookman Old Style" w:cs="Bookman Old Style"/>
          <w:color w:val="000000"/>
          <w:sz w:val="22"/>
          <w:szCs w:val="22"/>
        </w:rPr>
        <w:t xml:space="preserve"> Se prohíbe el desarrollo de las actividades de corridas de toros, rejoneo, novilladas, becerradas y tientas, encierros y suelta de vaquillas, festivales cómicos taurinos y de aficionados prácticos, así como los procedimientos utilizados en estos espectáculos, tanto en el ámbito público como en el privado.</w:t>
      </w:r>
    </w:p>
    <w:p w14:paraId="14D84229" w14:textId="77777777" w:rsidR="00725646" w:rsidRPr="00725646" w:rsidRDefault="00725646" w:rsidP="00725646">
      <w:pPr>
        <w:jc w:val="both"/>
        <w:rPr>
          <w:rFonts w:ascii="Bookman Old Style" w:eastAsia="Bookman Old Style" w:hAnsi="Bookman Old Style" w:cs="Bookman Old Style"/>
          <w:color w:val="000000"/>
          <w:sz w:val="22"/>
          <w:szCs w:val="22"/>
        </w:rPr>
      </w:pPr>
    </w:p>
    <w:p w14:paraId="5B693796" w14:textId="662B44A1" w:rsidR="00725646" w:rsidRPr="00725646" w:rsidRDefault="00725646" w:rsidP="00725646">
      <w:pPr>
        <w:jc w:val="both"/>
        <w:rPr>
          <w:rFonts w:ascii="Bookman Old Style" w:eastAsia="Bookman Old Style" w:hAnsi="Bookman Old Style" w:cs="Bookman Old Style"/>
          <w:color w:val="000000"/>
          <w:sz w:val="22"/>
          <w:szCs w:val="22"/>
        </w:rPr>
      </w:pPr>
      <w:r w:rsidRPr="00725646">
        <w:rPr>
          <w:rFonts w:ascii="Bookman Old Style" w:eastAsia="Bookman Old Style" w:hAnsi="Bookman Old Style" w:cs="Bookman Old Style"/>
          <w:b/>
          <w:color w:val="000000"/>
          <w:sz w:val="22"/>
          <w:szCs w:val="22"/>
        </w:rPr>
        <w:t>Parágrafo.</w:t>
      </w:r>
      <w:r w:rsidRPr="00725646">
        <w:rPr>
          <w:rFonts w:ascii="Bookman Old Style" w:eastAsia="Bookman Old Style" w:hAnsi="Bookman Old Style" w:cs="Bookman Old Style"/>
          <w:color w:val="000000"/>
          <w:sz w:val="22"/>
          <w:szCs w:val="22"/>
        </w:rPr>
        <w:t xml:space="preserve"> El incumplimiento de la prohibición prevista en el presente artículo, dará lugar a la imposición de las sanciones establecidas en el artículo 10 y 11 de la Ley 84 de 1989 modificados por el artículo 4 y 9, respectivamente, de la Ley 1774 de 2016 o las normas que la modifiquen, deroguen o sustituyan. </w:t>
      </w:r>
    </w:p>
    <w:p w14:paraId="24F4D3CB" w14:textId="77777777" w:rsidR="00725646" w:rsidRPr="00725646" w:rsidRDefault="00725646" w:rsidP="00725646">
      <w:pPr>
        <w:jc w:val="both"/>
        <w:rPr>
          <w:rFonts w:ascii="Bookman Old Style" w:eastAsia="Bookman Old Style" w:hAnsi="Bookman Old Style" w:cs="Bookman Old Style"/>
          <w:color w:val="000000"/>
          <w:sz w:val="22"/>
          <w:szCs w:val="22"/>
        </w:rPr>
      </w:pPr>
    </w:p>
    <w:p w14:paraId="6E86521A" w14:textId="77777777" w:rsidR="00725646" w:rsidRPr="00725646" w:rsidRDefault="00725646" w:rsidP="00725646">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25646">
        <w:rPr>
          <w:rFonts w:ascii="Bookman Old Style" w:eastAsia="Bookman Old Style" w:hAnsi="Bookman Old Style" w:cs="Bookman Old Style"/>
          <w:b/>
          <w:color w:val="000000"/>
          <w:sz w:val="22"/>
          <w:szCs w:val="22"/>
        </w:rPr>
        <w:t xml:space="preserve">Artículo 4.  </w:t>
      </w:r>
      <w:r w:rsidRPr="00725646">
        <w:rPr>
          <w:rFonts w:ascii="Bookman Old Style" w:eastAsia="Bookman Old Style" w:hAnsi="Bookman Old Style" w:cs="Bookman Old Style"/>
          <w:color w:val="000000"/>
          <w:sz w:val="22"/>
          <w:szCs w:val="22"/>
        </w:rPr>
        <w:t xml:space="preserve">El Ministerio de Ambiente y Desarrollo Sostenible, en conjunto con el Ministerio del Trabajo, el Ministerio de Educación y el Ministerio del Interior y garantizando la participación de los sectores que tengan intereses, en el marco de </w:t>
      </w:r>
      <w:r w:rsidRPr="00725646">
        <w:rPr>
          <w:rFonts w:ascii="Bookman Old Style" w:eastAsia="Bookman Old Style" w:hAnsi="Bookman Old Style" w:cs="Bookman Old Style"/>
          <w:color w:val="000000"/>
          <w:sz w:val="22"/>
          <w:szCs w:val="22"/>
        </w:rPr>
        <w:lastRenderedPageBreak/>
        <w:t>sus competencias, tendrá un plazo de seis (6) meses contados a partir de la expedición de la presente ley para elaborar un Plan de Adaptación Laboral con el cual garantizan programas efectivos de reconversión económica para las personas que demuestren que sus ingresos y sustento económico principal, se derivan de las actividades de las que trata el artículo 3.</w:t>
      </w:r>
    </w:p>
    <w:p w14:paraId="32089CC4" w14:textId="77777777" w:rsidR="00725646" w:rsidRPr="00725646" w:rsidRDefault="00725646" w:rsidP="00725646">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F72E5A5" w14:textId="77777777" w:rsidR="00725646" w:rsidRPr="00725646" w:rsidRDefault="00725646" w:rsidP="00725646">
      <w:pPr>
        <w:jc w:val="both"/>
        <w:rPr>
          <w:rFonts w:ascii="Bookman Old Style" w:eastAsia="Bookman Old Style" w:hAnsi="Bookman Old Style" w:cs="Bookman Old Style"/>
          <w:color w:val="000000"/>
          <w:sz w:val="22"/>
          <w:szCs w:val="22"/>
        </w:rPr>
      </w:pPr>
      <w:r w:rsidRPr="00725646">
        <w:rPr>
          <w:rFonts w:ascii="Bookman Old Style" w:eastAsia="Bookman Old Style" w:hAnsi="Bookman Old Style" w:cs="Bookman Old Style"/>
          <w:b/>
          <w:color w:val="000000"/>
          <w:sz w:val="22"/>
          <w:szCs w:val="22"/>
        </w:rPr>
        <w:t>Artículo 5º</w:t>
      </w:r>
      <w:r w:rsidRPr="00725646">
        <w:rPr>
          <w:rFonts w:ascii="Bookman Old Style" w:eastAsia="Bookman Old Style" w:hAnsi="Bookman Old Style" w:cs="Bookman Old Style"/>
          <w:color w:val="000000"/>
          <w:sz w:val="22"/>
          <w:szCs w:val="22"/>
        </w:rPr>
        <w:t xml:space="preserve">. </w:t>
      </w:r>
      <w:r w:rsidRPr="00725646">
        <w:rPr>
          <w:rFonts w:ascii="Bookman Old Style" w:eastAsia="Bookman Old Style" w:hAnsi="Bookman Old Style" w:cs="Bookman Old Style"/>
          <w:b/>
          <w:color w:val="000000"/>
          <w:sz w:val="22"/>
          <w:szCs w:val="22"/>
        </w:rPr>
        <w:t>Vigencia.</w:t>
      </w:r>
      <w:r w:rsidRPr="00725646">
        <w:rPr>
          <w:rFonts w:ascii="Bookman Old Style" w:eastAsia="Bookman Old Style" w:hAnsi="Bookman Old Style" w:cs="Bookman Old Style"/>
          <w:color w:val="000000"/>
          <w:sz w:val="22"/>
          <w:szCs w:val="22"/>
        </w:rPr>
        <w:t xml:space="preserve"> La presente ley rige a partir de la fecha de su expedición y deroga la Ley 916 de 2004, Reglamento Nacional Taurino, así como las expresiones “</w:t>
      </w:r>
      <w:r w:rsidRPr="00725646">
        <w:rPr>
          <w:rFonts w:ascii="Bookman Old Style" w:eastAsia="Bookman Old Style" w:hAnsi="Bookman Old Style" w:cs="Bookman Old Style"/>
          <w:i/>
          <w:color w:val="000000"/>
          <w:sz w:val="22"/>
          <w:szCs w:val="22"/>
        </w:rPr>
        <w:t xml:space="preserve">corridas de toros, rejoneo, novilladas, becerradas y tientas”, </w:t>
      </w:r>
      <w:r w:rsidRPr="00725646">
        <w:rPr>
          <w:rFonts w:ascii="Bookman Old Style" w:eastAsia="Bookman Old Style" w:hAnsi="Bookman Old Style" w:cs="Bookman Old Style"/>
          <w:color w:val="000000"/>
          <w:sz w:val="22"/>
          <w:szCs w:val="22"/>
        </w:rPr>
        <w:t>contenidas en el artículo 7 de la Ley 84 de 1989.</w:t>
      </w:r>
    </w:p>
    <w:p w14:paraId="5331A771" w14:textId="77777777" w:rsidR="005A4FEA" w:rsidRPr="00725646" w:rsidRDefault="005A4FEA" w:rsidP="005A4FEA">
      <w:pPr>
        <w:jc w:val="both"/>
        <w:rPr>
          <w:rFonts w:ascii="Bookman Old Style" w:eastAsia="Bookman Old Style" w:hAnsi="Bookman Old Style" w:cs="Bookman Old Style"/>
          <w:color w:val="000000"/>
          <w:sz w:val="22"/>
          <w:szCs w:val="22"/>
        </w:rPr>
      </w:pPr>
    </w:p>
    <w:p w14:paraId="32F183DA" w14:textId="77777777" w:rsidR="005A4FEA" w:rsidRPr="00725646" w:rsidRDefault="005A4FEA" w:rsidP="005A4FEA">
      <w:pPr>
        <w:jc w:val="both"/>
        <w:rPr>
          <w:rFonts w:ascii="Bookman Old Style" w:eastAsia="Bookman Old Style" w:hAnsi="Bookman Old Style" w:cs="Bookman Old Style"/>
          <w:color w:val="000000"/>
          <w:sz w:val="22"/>
          <w:szCs w:val="22"/>
        </w:rPr>
      </w:pPr>
      <w:r w:rsidRPr="00725646">
        <w:rPr>
          <w:rFonts w:ascii="Bookman Old Style" w:eastAsia="Bookman Old Style" w:hAnsi="Bookman Old Style" w:cs="Bookman Old Style"/>
          <w:color w:val="000000"/>
          <w:sz w:val="22"/>
          <w:szCs w:val="22"/>
        </w:rPr>
        <w:t xml:space="preserve">Cordialmente, </w:t>
      </w:r>
    </w:p>
    <w:p w14:paraId="765C07F3" w14:textId="77777777" w:rsidR="005A4FEA" w:rsidRPr="00EA2C95" w:rsidRDefault="005A4FEA" w:rsidP="005A4FEA">
      <w:pPr>
        <w:jc w:val="both"/>
        <w:rPr>
          <w:rFonts w:ascii="Bookman Old Style" w:eastAsia="Bookman Old Style" w:hAnsi="Bookman Old Style" w:cs="Bookman Old Style"/>
          <w:color w:val="000000"/>
          <w:sz w:val="22"/>
          <w:szCs w:val="22"/>
        </w:rPr>
      </w:pPr>
    </w:p>
    <w:p w14:paraId="43A9F99A" w14:textId="77777777" w:rsidR="005A4FEA" w:rsidRPr="00EA2C95" w:rsidRDefault="005A4FEA" w:rsidP="005A4FEA">
      <w:pPr>
        <w:jc w:val="both"/>
        <w:rPr>
          <w:rFonts w:ascii="Bookman Old Style" w:eastAsia="Bookman Old Style" w:hAnsi="Bookman Old Style" w:cs="Bookman Old Style"/>
          <w:color w:val="000000"/>
          <w:sz w:val="22"/>
          <w:szCs w:val="22"/>
        </w:rPr>
      </w:pPr>
    </w:p>
    <w:p w14:paraId="6AD95A64" w14:textId="77777777" w:rsidR="005A4FEA" w:rsidRPr="00EA2C95" w:rsidRDefault="005A4FEA" w:rsidP="005A4FEA">
      <w:pPr>
        <w:jc w:val="both"/>
        <w:rPr>
          <w:rFonts w:ascii="Bookman Old Style" w:eastAsia="Bookman Old Style" w:hAnsi="Bookman Old Style" w:cs="Bookman Old Style"/>
          <w:color w:val="000000"/>
          <w:sz w:val="22"/>
          <w:szCs w:val="22"/>
        </w:rPr>
      </w:pPr>
    </w:p>
    <w:p w14:paraId="2F6D992D" w14:textId="77777777" w:rsidR="005A4FEA" w:rsidRPr="00EA2C95" w:rsidRDefault="005A4FEA" w:rsidP="005A4FEA">
      <w:pPr>
        <w:tabs>
          <w:tab w:val="right" w:pos="8838"/>
        </w:tabs>
        <w:jc w:val="center"/>
        <w:rPr>
          <w:rFonts w:ascii="Bookman Old Style" w:eastAsia="Bookman Old Style" w:hAnsi="Bookman Old Style" w:cs="Bookman Old Style"/>
          <w:b/>
          <w:sz w:val="22"/>
          <w:szCs w:val="22"/>
        </w:rPr>
      </w:pPr>
    </w:p>
    <w:p w14:paraId="1A9A2E17" w14:textId="77777777" w:rsidR="005A4FEA" w:rsidRPr="00EA2C95" w:rsidRDefault="005A4FEA" w:rsidP="005A4FEA">
      <w:pPr>
        <w:tabs>
          <w:tab w:val="right" w:pos="8838"/>
        </w:tabs>
        <w:jc w:val="center"/>
        <w:rPr>
          <w:rFonts w:ascii="Bookman Old Style" w:eastAsia="Bookman Old Style" w:hAnsi="Bookman Old Style" w:cs="Bookman Old Style"/>
          <w:b/>
          <w:color w:val="000000"/>
          <w:sz w:val="22"/>
          <w:szCs w:val="22"/>
        </w:rPr>
      </w:pPr>
      <w:r w:rsidRPr="00EA2C95">
        <w:rPr>
          <w:rFonts w:ascii="Bookman Old Style" w:eastAsia="Bookman Old Style" w:hAnsi="Bookman Old Style" w:cs="Bookman Old Style"/>
          <w:b/>
          <w:color w:val="000000"/>
          <w:sz w:val="22"/>
          <w:szCs w:val="22"/>
        </w:rPr>
        <w:t>JUAN CARLOS LOZADA VARGAS</w:t>
      </w:r>
    </w:p>
    <w:p w14:paraId="27E6DA8F" w14:textId="77777777" w:rsidR="005A4FEA" w:rsidRPr="00EA2C95" w:rsidRDefault="005A4FEA" w:rsidP="005A4FEA">
      <w:pPr>
        <w:tabs>
          <w:tab w:val="right" w:pos="8838"/>
        </w:tabs>
        <w:jc w:val="center"/>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Representante a la Cámara por Bogotá</w:t>
      </w:r>
    </w:p>
    <w:p w14:paraId="5E5B6E3F" w14:textId="726F7355" w:rsidR="005A4FEA" w:rsidRPr="00EA2C95" w:rsidRDefault="005A4FEA" w:rsidP="005A4FEA">
      <w:pPr>
        <w:jc w:val="center"/>
        <w:rPr>
          <w:rFonts w:ascii="Bookman Old Style" w:eastAsia="Bookman Old Style" w:hAnsi="Bookman Old Style" w:cs="Bookman Old Style"/>
          <w:color w:val="000000"/>
          <w:sz w:val="22"/>
          <w:szCs w:val="22"/>
        </w:rPr>
      </w:pPr>
      <w:r w:rsidRPr="00EA2C95">
        <w:rPr>
          <w:rFonts w:ascii="Bookman Old Style" w:eastAsia="Bookman Old Style" w:hAnsi="Bookman Old Style" w:cs="Bookman Old Style"/>
          <w:color w:val="000000"/>
          <w:sz w:val="22"/>
          <w:szCs w:val="22"/>
        </w:rPr>
        <w:t>Ponente</w:t>
      </w:r>
    </w:p>
    <w:p w14:paraId="74A15FF8" w14:textId="77777777" w:rsidR="005A4FEA" w:rsidRPr="00EA2C95" w:rsidRDefault="005A4FEA" w:rsidP="005A4FEA">
      <w:pPr>
        <w:jc w:val="center"/>
        <w:rPr>
          <w:rFonts w:ascii="Bookman Old Style" w:eastAsia="Bookman Old Style" w:hAnsi="Bookman Old Style" w:cs="Bookman Old Style"/>
          <w:color w:val="000000"/>
          <w:sz w:val="22"/>
          <w:szCs w:val="22"/>
        </w:rPr>
      </w:pPr>
    </w:p>
    <w:p w14:paraId="2F2BD8A8" w14:textId="77777777" w:rsidR="005A4FEA" w:rsidRPr="00EA2C95" w:rsidRDefault="005A4FEA" w:rsidP="00C32ADD">
      <w:pPr>
        <w:jc w:val="center"/>
        <w:rPr>
          <w:rFonts w:ascii="Bookman Old Style" w:eastAsia="Bookman Old Style" w:hAnsi="Bookman Old Style" w:cs="Bookman Old Style"/>
          <w:sz w:val="22"/>
          <w:szCs w:val="22"/>
        </w:rPr>
      </w:pPr>
    </w:p>
    <w:sectPr w:rsidR="005A4FEA" w:rsidRPr="00EA2C95">
      <w:headerReference w:type="default" r:id="rId14"/>
      <w:footerReference w:type="default" r:id="rId15"/>
      <w:type w:val="continuous"/>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8229" w14:textId="77777777" w:rsidR="00505546" w:rsidRDefault="00505546">
      <w:r>
        <w:separator/>
      </w:r>
    </w:p>
  </w:endnote>
  <w:endnote w:type="continuationSeparator" w:id="0">
    <w:p w14:paraId="2E0E1490" w14:textId="77777777" w:rsidR="00505546" w:rsidRDefault="0050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9F05" w14:textId="77777777" w:rsidR="00EA2C95" w:rsidRDefault="00EA2C95">
    <w:pPr>
      <w:pBdr>
        <w:top w:val="nil"/>
        <w:left w:val="nil"/>
        <w:bottom w:val="nil"/>
        <w:right w:val="nil"/>
        <w:between w:val="nil"/>
      </w:pBdr>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21F0" w14:textId="77777777" w:rsidR="00EA2C95" w:rsidRDefault="00EA2C95">
    <w:pPr>
      <w:pBdr>
        <w:top w:val="nil"/>
        <w:left w:val="nil"/>
        <w:bottom w:val="nil"/>
        <w:right w:val="nil"/>
        <w:between w:val="nil"/>
      </w:pBd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427D" w14:textId="77777777" w:rsidR="00505546" w:rsidRDefault="00505546">
      <w:r>
        <w:separator/>
      </w:r>
    </w:p>
  </w:footnote>
  <w:footnote w:type="continuationSeparator" w:id="0">
    <w:p w14:paraId="0336C9C4" w14:textId="77777777" w:rsidR="00505546" w:rsidRDefault="00505546">
      <w:r>
        <w:continuationSeparator/>
      </w:r>
    </w:p>
  </w:footnote>
  <w:footnote w:id="1">
    <w:p w14:paraId="1267E696"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C-1192 de 2005.</w:t>
      </w:r>
    </w:p>
  </w:footnote>
  <w:footnote w:id="2">
    <w:p w14:paraId="3705D00D"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C-666 de 2010.</w:t>
      </w:r>
    </w:p>
  </w:footnote>
  <w:footnote w:id="3">
    <w:p w14:paraId="750B481A"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Ibídem.</w:t>
      </w:r>
    </w:p>
  </w:footnote>
  <w:footnote w:id="4">
    <w:p w14:paraId="4CDA154A"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C-666 de 2010.</w:t>
      </w:r>
    </w:p>
  </w:footnote>
  <w:footnote w:id="5">
    <w:p w14:paraId="656F9DDC"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Ibidem.</w:t>
      </w:r>
    </w:p>
  </w:footnote>
  <w:footnote w:id="6">
    <w:p w14:paraId="0607E2EF"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C-283 de 2014.</w:t>
      </w:r>
    </w:p>
  </w:footnote>
  <w:footnote w:id="7">
    <w:p w14:paraId="77998E69"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C-467 de 2016.</w:t>
      </w:r>
    </w:p>
  </w:footnote>
  <w:footnote w:id="8">
    <w:p w14:paraId="58F95D0F"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Ibídem.</w:t>
      </w:r>
    </w:p>
  </w:footnote>
  <w:footnote w:id="9">
    <w:p w14:paraId="7173FFA8"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Ibídem</w:t>
      </w:r>
    </w:p>
  </w:footnote>
  <w:footnote w:id="10">
    <w:p w14:paraId="0A23CFDD"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Corte Constitucional, Sentencia C-041 de 2017.</w:t>
      </w:r>
    </w:p>
  </w:footnote>
  <w:footnote w:id="11">
    <w:p w14:paraId="1AEA0045" w14:textId="77777777" w:rsidR="00EA2C95" w:rsidRDefault="00EA2C95">
      <w:pPr>
        <w:jc w:val="both"/>
        <w:rPr>
          <w:i/>
          <w:sz w:val="16"/>
          <w:szCs w:val="16"/>
        </w:rPr>
      </w:pPr>
      <w:r>
        <w:rPr>
          <w:vertAlign w:val="superscript"/>
        </w:rPr>
        <w:footnoteRef/>
      </w:r>
      <w:r>
        <w:rPr>
          <w:i/>
          <w:sz w:val="16"/>
          <w:szCs w:val="16"/>
        </w:rPr>
        <w:t xml:space="preserve"> Un Estado social debe buscar, entre otros, el bienestar animal, por ser éste un elemento connatural al desarrollo del principio de solidaridad.</w:t>
      </w:r>
    </w:p>
  </w:footnote>
  <w:footnote w:id="12">
    <w:p w14:paraId="1E190646" w14:textId="77777777" w:rsidR="00EA2C95" w:rsidRDefault="00EA2C95">
      <w:pPr>
        <w:pBdr>
          <w:top w:val="nil"/>
          <w:left w:val="nil"/>
          <w:bottom w:val="nil"/>
          <w:right w:val="nil"/>
          <w:between w:val="nil"/>
        </w:pBdr>
        <w:jc w:val="both"/>
        <w:rPr>
          <w:i/>
          <w:color w:val="000000"/>
          <w:sz w:val="16"/>
          <w:szCs w:val="16"/>
          <w:highlight w:val="white"/>
        </w:rPr>
      </w:pPr>
      <w:r>
        <w:rPr>
          <w:vertAlign w:val="superscript"/>
        </w:rPr>
        <w:footnoteRef/>
      </w:r>
      <w:r>
        <w:rPr>
          <w:i/>
          <w:color w:val="000000"/>
          <w:sz w:val="16"/>
          <w:szCs w:val="16"/>
        </w:rPr>
        <w:t xml:space="preserve"> </w:t>
      </w:r>
      <w:hyperlink r:id="rId1">
        <w:r>
          <w:rPr>
            <w:i/>
            <w:color w:val="000000"/>
            <w:sz w:val="16"/>
            <w:szCs w:val="16"/>
            <w:highlight w:val="white"/>
            <w:u w:val="single"/>
          </w:rPr>
          <w:t>http://avatma.org/2016/03/08/informe-tecnico-veterinario-sobre-los-espectaculos-taurinos-con-vacas-y-vaquillas/</w:t>
        </w:r>
      </w:hyperlink>
    </w:p>
    <w:p w14:paraId="41126F8A" w14:textId="77777777" w:rsidR="00EA2C95" w:rsidRDefault="00EA2C95">
      <w:pPr>
        <w:pBdr>
          <w:top w:val="nil"/>
          <w:left w:val="nil"/>
          <w:bottom w:val="nil"/>
          <w:right w:val="nil"/>
          <w:between w:val="nil"/>
        </w:pBdr>
        <w:tabs>
          <w:tab w:val="left" w:pos="300"/>
        </w:tabs>
        <w:ind w:left="320" w:hanging="320"/>
        <w:jc w:val="both"/>
        <w:rPr>
          <w:i/>
          <w:color w:val="000000"/>
          <w:sz w:val="16"/>
          <w:szCs w:val="16"/>
        </w:rPr>
      </w:pPr>
    </w:p>
  </w:footnote>
  <w:footnote w:id="13">
    <w:p w14:paraId="7B4DDF3D" w14:textId="77777777" w:rsidR="00EA2C95" w:rsidRDefault="00EA2C95">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http://es.scribd.com/doc/79119470/La-Crueldad-de-Las-Corridas-Incruentas</w:t>
      </w:r>
    </w:p>
  </w:footnote>
  <w:footnote w:id="14">
    <w:p w14:paraId="757A2CC1" w14:textId="77777777" w:rsidR="00EA2C95" w:rsidRPr="0047400B" w:rsidRDefault="00EA2C95">
      <w:pPr>
        <w:pBdr>
          <w:top w:val="nil"/>
          <w:left w:val="nil"/>
          <w:bottom w:val="nil"/>
          <w:right w:val="nil"/>
          <w:between w:val="nil"/>
        </w:pBdr>
        <w:tabs>
          <w:tab w:val="left" w:pos="300"/>
        </w:tabs>
        <w:ind w:left="320" w:hanging="320"/>
        <w:jc w:val="both"/>
        <w:rPr>
          <w:i/>
          <w:color w:val="000000"/>
          <w:sz w:val="16"/>
          <w:szCs w:val="16"/>
          <w:lang w:val="en-US"/>
        </w:rPr>
      </w:pPr>
      <w:r>
        <w:rPr>
          <w:vertAlign w:val="superscript"/>
        </w:rPr>
        <w:footnoteRef/>
      </w:r>
      <w:r w:rsidRPr="0047400B">
        <w:rPr>
          <w:i/>
          <w:color w:val="000000"/>
          <w:sz w:val="16"/>
          <w:szCs w:val="16"/>
          <w:lang w:val="en-US"/>
        </w:rPr>
        <w:t xml:space="preserve"> United Nations. Convention on the Rights of the Child. CRC/C/COL/CO/4-5. Committee on the Rights of the Child. Concluding observations on the combined fourth and fifth periodic reports of Colombia, adopted by the Committee at its sixty-eighth session (12-30 January 2015). </w:t>
      </w:r>
    </w:p>
  </w:footnote>
  <w:footnote w:id="15">
    <w:p w14:paraId="6B13E338" w14:textId="77777777" w:rsidR="00EA2C95" w:rsidRDefault="00EA2C95">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Crespo, C. (2017). Algunos aspectos psicológicos para explicar el desarrollo de la afición taurina. Anamnesis Revista de Bioética. Pontificia Universidad Javeriana. Número 12. julio – diciembre 2017 (p 19 – 28).</w:t>
      </w:r>
    </w:p>
  </w:footnote>
  <w:footnote w:id="16">
    <w:p w14:paraId="7500C5F7" w14:textId="77777777" w:rsidR="00EA2C95" w:rsidRDefault="00EA2C95">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Crespo, C. (2013). Abolición de la tauromaquia desde una bioética no especista. Ponencia presentada en la 7ª Cumbre de la Red Mundial por la Abolición de la Tauromaquia Bogotá (Colombia).</w:t>
      </w:r>
    </w:p>
  </w:footnote>
  <w:footnote w:id="17">
    <w:p w14:paraId="39B780DA" w14:textId="77777777" w:rsidR="00EA2C95" w:rsidRDefault="00EA2C95">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Crespo, C. (2017). La falacia del uso de argumentos sobre minorías y libertades individuales en la tauromaquia. Recuperado de: http://elturbion.com/?p=14953</w:t>
      </w:r>
    </w:p>
  </w:footnote>
  <w:footnote w:id="18">
    <w:p w14:paraId="4FD7093B" w14:textId="77777777" w:rsidR="00EA2C95" w:rsidRDefault="00EA2C95">
      <w:pPr>
        <w:pBdr>
          <w:top w:val="nil"/>
          <w:left w:val="nil"/>
          <w:bottom w:val="nil"/>
          <w:right w:val="nil"/>
          <w:between w:val="nil"/>
        </w:pBdr>
        <w:jc w:val="both"/>
        <w:rPr>
          <w:i/>
          <w:color w:val="000000"/>
          <w:sz w:val="16"/>
          <w:szCs w:val="16"/>
        </w:rPr>
      </w:pPr>
      <w:r>
        <w:rPr>
          <w:vertAlign w:val="superscript"/>
        </w:rPr>
        <w:footnoteRef/>
      </w:r>
      <w:r>
        <w:rPr>
          <w:i/>
          <w:color w:val="000000"/>
          <w:sz w:val="16"/>
          <w:szCs w:val="16"/>
        </w:rPr>
        <w:t xml:space="preserve"> Rubiano, F. (2017). Fabio Rubiano descarta la muerte como arte. Recuperado de https://www.youtube.com/watch?v=KaL10DzWyaM </w:t>
      </w:r>
    </w:p>
    <w:p w14:paraId="0789F4B4" w14:textId="77777777" w:rsidR="00EA2C95" w:rsidRDefault="00EA2C95">
      <w:pPr>
        <w:pBdr>
          <w:top w:val="nil"/>
          <w:left w:val="nil"/>
          <w:bottom w:val="nil"/>
          <w:right w:val="nil"/>
          <w:between w:val="nil"/>
        </w:pBdr>
        <w:tabs>
          <w:tab w:val="left" w:pos="300"/>
        </w:tabs>
        <w:ind w:left="320" w:hanging="320"/>
        <w:jc w:val="both"/>
        <w:rPr>
          <w:i/>
          <w:color w:val="000000"/>
          <w:sz w:val="16"/>
          <w:szCs w:val="16"/>
        </w:rPr>
      </w:pPr>
    </w:p>
  </w:footnote>
  <w:footnote w:id="19">
    <w:p w14:paraId="527D4FD1" w14:textId="77777777" w:rsidR="00EA2C95" w:rsidRDefault="00EA2C95">
      <w:pPr>
        <w:pBdr>
          <w:top w:val="nil"/>
          <w:left w:val="nil"/>
          <w:bottom w:val="nil"/>
          <w:right w:val="nil"/>
          <w:between w:val="nil"/>
        </w:pBdr>
        <w:tabs>
          <w:tab w:val="left" w:pos="300"/>
        </w:tabs>
        <w:ind w:left="320" w:hanging="320"/>
        <w:jc w:val="both"/>
        <w:rPr>
          <w:i/>
          <w:color w:val="000000"/>
          <w:sz w:val="16"/>
          <w:szCs w:val="16"/>
        </w:rPr>
      </w:pPr>
      <w:r>
        <w:rPr>
          <w:vertAlign w:val="superscript"/>
        </w:rPr>
        <w:footnoteRef/>
      </w:r>
      <w:r>
        <w:rPr>
          <w:i/>
          <w:color w:val="000000"/>
          <w:sz w:val="16"/>
          <w:szCs w:val="16"/>
        </w:rPr>
        <w:t xml:space="preserve"> Fundación Colectivo Identidad Animal (2018). Informe sobre el Impacto de la Tauromaquia en la ciudad de Manizales, Caldas. Recuperado de https://drive.google.com/file/d/0B15TnNlQqjo7T0hKV3VXUnBoanR1ZXJMa2Zqa1FjM0ZvYWlB/view?usp=drivesdk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632B" w14:textId="0406F43B" w:rsidR="00EA2C95" w:rsidRDefault="00EA2C9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56BBC">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56BBC">
      <w:rPr>
        <w:b/>
        <w:noProof/>
        <w:color w:val="000000"/>
      </w:rPr>
      <w:t>39</w:t>
    </w:r>
    <w:r>
      <w:rPr>
        <w:b/>
        <w:color w:val="000000"/>
      </w:rPr>
      <w:fldChar w:fldCharType="end"/>
    </w:r>
  </w:p>
  <w:p w14:paraId="704E1BB8" w14:textId="77777777" w:rsidR="00EA2C95" w:rsidRDefault="00EA2C95">
    <w:pPr>
      <w:pBdr>
        <w:top w:val="nil"/>
        <w:left w:val="nil"/>
        <w:bottom w:val="nil"/>
        <w:right w:val="nil"/>
        <w:between w:val="nil"/>
      </w:pBdr>
      <w:tabs>
        <w:tab w:val="center" w:pos="4419"/>
        <w:tab w:val="right" w:pos="8838"/>
      </w:tabs>
      <w:jc w:val="center"/>
      <w:rPr>
        <w:color w:val="000000"/>
      </w:rPr>
    </w:pPr>
    <w:r>
      <w:rPr>
        <w:noProof/>
        <w:color w:val="000000"/>
        <w:lang w:eastAsia="es-CO"/>
      </w:rPr>
      <w:drawing>
        <wp:inline distT="0" distB="0" distL="0" distR="0" wp14:anchorId="31DA0398" wp14:editId="13C8AA46">
          <wp:extent cx="2775232" cy="822082"/>
          <wp:effectExtent l="0" t="0" r="0" b="0"/>
          <wp:docPr id="77"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
                  <a:srcRect/>
                  <a:stretch>
                    <a:fillRect/>
                  </a:stretch>
                </pic:blipFill>
                <pic:spPr>
                  <a:xfrm>
                    <a:off x="0" y="0"/>
                    <a:ext cx="2775232" cy="822082"/>
                  </a:xfrm>
                  <a:prstGeom prst="rect">
                    <a:avLst/>
                  </a:prstGeom>
                  <a:ln/>
                </pic:spPr>
              </pic:pic>
            </a:graphicData>
          </a:graphic>
        </wp:inline>
      </w:drawing>
    </w:r>
  </w:p>
  <w:p w14:paraId="7F8A5D66" w14:textId="77777777" w:rsidR="00EA2C95" w:rsidRDefault="00EA2C95">
    <w:pPr>
      <w:pBdr>
        <w:top w:val="nil"/>
        <w:left w:val="nil"/>
        <w:bottom w:val="nil"/>
        <w:right w:val="nil"/>
        <w:between w:val="nil"/>
      </w:pBdr>
      <w:tabs>
        <w:tab w:val="center" w:pos="4419"/>
        <w:tab w:val="right" w:pos="8838"/>
      </w:tabs>
      <w:rPr>
        <w:rFonts w:ascii="Bookman Old Style" w:eastAsia="Bookman Old Style" w:hAnsi="Bookman Old Style" w:cs="Bookman Old Style"/>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F95" w14:textId="29A24EEC" w:rsidR="00EA2C95" w:rsidRDefault="00EA2C9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F5D6D">
      <w:rPr>
        <w:b/>
        <w:noProof/>
        <w:color w:val="000000"/>
      </w:rPr>
      <w:t>36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F5D6D">
      <w:rPr>
        <w:b/>
        <w:noProof/>
        <w:color w:val="000000"/>
      </w:rPr>
      <w:t>38</w:t>
    </w:r>
    <w:r>
      <w:rPr>
        <w:b/>
        <w:color w:val="000000"/>
      </w:rPr>
      <w:fldChar w:fldCharType="end"/>
    </w:r>
  </w:p>
  <w:p w14:paraId="3010E761" w14:textId="77777777" w:rsidR="00EA2C95" w:rsidRDefault="00EA2C95">
    <w:pPr>
      <w:pBdr>
        <w:top w:val="nil"/>
        <w:left w:val="nil"/>
        <w:bottom w:val="nil"/>
        <w:right w:val="nil"/>
        <w:between w:val="nil"/>
      </w:pBdr>
      <w:tabs>
        <w:tab w:val="center" w:pos="4419"/>
        <w:tab w:val="right" w:pos="8838"/>
      </w:tabs>
      <w:jc w:val="center"/>
      <w:rPr>
        <w:color w:val="000000"/>
      </w:rPr>
    </w:pPr>
    <w:r>
      <w:rPr>
        <w:noProof/>
        <w:color w:val="000000"/>
        <w:lang w:eastAsia="es-CO"/>
      </w:rPr>
      <w:drawing>
        <wp:inline distT="0" distB="0" distL="0" distR="0" wp14:anchorId="143900EC" wp14:editId="69E507C4">
          <wp:extent cx="2775232" cy="822082"/>
          <wp:effectExtent l="0" t="0" r="0" b="0"/>
          <wp:docPr id="79"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
                  <a:srcRect/>
                  <a:stretch>
                    <a:fillRect/>
                  </a:stretch>
                </pic:blipFill>
                <pic:spPr>
                  <a:xfrm>
                    <a:off x="0" y="0"/>
                    <a:ext cx="2775232" cy="822082"/>
                  </a:xfrm>
                  <a:prstGeom prst="rect">
                    <a:avLst/>
                  </a:prstGeom>
                  <a:ln/>
                </pic:spPr>
              </pic:pic>
            </a:graphicData>
          </a:graphic>
        </wp:inline>
      </w:drawing>
    </w:r>
  </w:p>
  <w:p w14:paraId="13893C53" w14:textId="77777777" w:rsidR="00EA2C95" w:rsidRDefault="00EA2C95">
    <w:pPr>
      <w:pBdr>
        <w:top w:val="nil"/>
        <w:left w:val="nil"/>
        <w:bottom w:val="nil"/>
        <w:right w:val="nil"/>
        <w:between w:val="nil"/>
      </w:pBdr>
      <w:tabs>
        <w:tab w:val="center" w:pos="4419"/>
        <w:tab w:val="right" w:pos="8838"/>
      </w:tabs>
      <w:jc w:val="center"/>
      <w:rPr>
        <w:color w:val="000000"/>
      </w:rPr>
    </w:pPr>
  </w:p>
  <w:p w14:paraId="12DBE597" w14:textId="77777777" w:rsidR="00EA2C95" w:rsidRDefault="00EA2C95">
    <w:pPr>
      <w:pBdr>
        <w:top w:val="nil"/>
        <w:left w:val="nil"/>
        <w:bottom w:val="nil"/>
        <w:right w:val="nil"/>
        <w:between w:val="nil"/>
      </w:pBdr>
      <w:tabs>
        <w:tab w:val="center" w:pos="4419"/>
        <w:tab w:val="right" w:pos="8838"/>
      </w:tabs>
      <w:rPr>
        <w:rFonts w:ascii="Bookman Old Style" w:eastAsia="Bookman Old Style" w:hAnsi="Bookman Old Style" w:cs="Bookman Old Style"/>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5D1E"/>
    <w:multiLevelType w:val="multilevel"/>
    <w:tmpl w:val="173A50C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3173AE"/>
    <w:multiLevelType w:val="multilevel"/>
    <w:tmpl w:val="3958499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D23DB3"/>
    <w:multiLevelType w:val="hybridMultilevel"/>
    <w:tmpl w:val="DB3C22C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073DB3"/>
    <w:multiLevelType w:val="multilevel"/>
    <w:tmpl w:val="7CE4D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604BCE"/>
    <w:multiLevelType w:val="multilevel"/>
    <w:tmpl w:val="B608C2C4"/>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74E24116"/>
    <w:multiLevelType w:val="multilevel"/>
    <w:tmpl w:val="32A40E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55221891">
    <w:abstractNumId w:val="0"/>
  </w:num>
  <w:num w:numId="2" w16cid:durableId="2078749436">
    <w:abstractNumId w:val="1"/>
  </w:num>
  <w:num w:numId="3" w16cid:durableId="2119644042">
    <w:abstractNumId w:val="6"/>
  </w:num>
  <w:num w:numId="4" w16cid:durableId="359013907">
    <w:abstractNumId w:val="7"/>
  </w:num>
  <w:num w:numId="5" w16cid:durableId="1607618802">
    <w:abstractNumId w:val="5"/>
  </w:num>
  <w:num w:numId="6" w16cid:durableId="1530293754">
    <w:abstractNumId w:val="4"/>
  </w:num>
  <w:num w:numId="7" w16cid:durableId="1213343187">
    <w:abstractNumId w:val="3"/>
  </w:num>
  <w:num w:numId="8" w16cid:durableId="1211114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AE"/>
    <w:rsid w:val="00071227"/>
    <w:rsid w:val="000C63EC"/>
    <w:rsid w:val="000F56DF"/>
    <w:rsid w:val="00146F8D"/>
    <w:rsid w:val="00181CB9"/>
    <w:rsid w:val="00182710"/>
    <w:rsid w:val="00186BB1"/>
    <w:rsid w:val="001A7176"/>
    <w:rsid w:val="001C6854"/>
    <w:rsid w:val="001E787F"/>
    <w:rsid w:val="003213C1"/>
    <w:rsid w:val="00322414"/>
    <w:rsid w:val="003229E6"/>
    <w:rsid w:val="00346FED"/>
    <w:rsid w:val="003934B8"/>
    <w:rsid w:val="00442B7E"/>
    <w:rsid w:val="0047400B"/>
    <w:rsid w:val="004A6822"/>
    <w:rsid w:val="00505546"/>
    <w:rsid w:val="00547E52"/>
    <w:rsid w:val="005A4FEA"/>
    <w:rsid w:val="00605F33"/>
    <w:rsid w:val="0068422A"/>
    <w:rsid w:val="006A79EB"/>
    <w:rsid w:val="00725646"/>
    <w:rsid w:val="00731B0F"/>
    <w:rsid w:val="00756FAE"/>
    <w:rsid w:val="007F1017"/>
    <w:rsid w:val="008253D3"/>
    <w:rsid w:val="008C4FBD"/>
    <w:rsid w:val="009729E7"/>
    <w:rsid w:val="00A33597"/>
    <w:rsid w:val="00A34189"/>
    <w:rsid w:val="00B02B8D"/>
    <w:rsid w:val="00B61382"/>
    <w:rsid w:val="00C0142A"/>
    <w:rsid w:val="00C05FCD"/>
    <w:rsid w:val="00C32ADD"/>
    <w:rsid w:val="00D46C49"/>
    <w:rsid w:val="00D70FD6"/>
    <w:rsid w:val="00D84C86"/>
    <w:rsid w:val="00DB451E"/>
    <w:rsid w:val="00E0325B"/>
    <w:rsid w:val="00E56BBC"/>
    <w:rsid w:val="00EA2C95"/>
    <w:rsid w:val="00EF034D"/>
    <w:rsid w:val="00F4184D"/>
    <w:rsid w:val="00FF5D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DD19"/>
  <w15:docId w15:val="{219AED38-34F0-2C4B-A719-96BCE7A5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14"/>
    <w:rPr>
      <w:lang w:val="es-CO"/>
    </w:rPr>
  </w:style>
  <w:style w:type="paragraph" w:styleId="Ttulo1">
    <w:name w:val="heading 1"/>
    <w:basedOn w:val="Normal"/>
    <w:next w:val="Normal"/>
    <w:uiPriority w:val="9"/>
    <w:qFormat/>
    <w:rsid w:val="003826E0"/>
    <w:pPr>
      <w:keepNext/>
      <w:keepLines/>
      <w:spacing w:before="480" w:after="120"/>
      <w:outlineLvl w:val="0"/>
    </w:pPr>
    <w:rPr>
      <w:b/>
      <w:sz w:val="48"/>
      <w:szCs w:val="48"/>
      <w:lang w:val="es-ES"/>
    </w:rPr>
  </w:style>
  <w:style w:type="paragraph" w:styleId="Ttulo2">
    <w:name w:val="heading 2"/>
    <w:basedOn w:val="Normal"/>
    <w:next w:val="Normal"/>
    <w:uiPriority w:val="9"/>
    <w:semiHidden/>
    <w:unhideWhenUsed/>
    <w:qFormat/>
    <w:rsid w:val="003826E0"/>
    <w:pPr>
      <w:keepNext/>
      <w:keepLines/>
      <w:spacing w:before="360" w:after="80"/>
      <w:outlineLvl w:val="1"/>
    </w:pPr>
    <w:rPr>
      <w:b/>
      <w:sz w:val="36"/>
      <w:szCs w:val="36"/>
      <w:lang w:val="es-ES"/>
    </w:rPr>
  </w:style>
  <w:style w:type="paragraph" w:styleId="Ttulo3">
    <w:name w:val="heading 3"/>
    <w:basedOn w:val="Normal"/>
    <w:next w:val="Normal"/>
    <w:uiPriority w:val="9"/>
    <w:semiHidden/>
    <w:unhideWhenUsed/>
    <w:qFormat/>
    <w:rsid w:val="003826E0"/>
    <w:pPr>
      <w:keepNext/>
      <w:keepLines/>
      <w:spacing w:before="280" w:after="80"/>
      <w:outlineLvl w:val="2"/>
    </w:pPr>
    <w:rPr>
      <w:b/>
      <w:sz w:val="28"/>
      <w:szCs w:val="28"/>
      <w:lang w:val="es-ES"/>
    </w:rPr>
  </w:style>
  <w:style w:type="paragraph" w:styleId="Ttulo4">
    <w:name w:val="heading 4"/>
    <w:basedOn w:val="Normal"/>
    <w:next w:val="Normal"/>
    <w:uiPriority w:val="9"/>
    <w:semiHidden/>
    <w:unhideWhenUsed/>
    <w:qFormat/>
    <w:rsid w:val="003826E0"/>
    <w:pPr>
      <w:keepNext/>
      <w:keepLines/>
      <w:spacing w:before="240" w:after="40"/>
      <w:outlineLvl w:val="3"/>
    </w:pPr>
    <w:rPr>
      <w:b/>
      <w:lang w:val="es-ES"/>
    </w:rPr>
  </w:style>
  <w:style w:type="paragraph" w:styleId="Ttulo5">
    <w:name w:val="heading 5"/>
    <w:basedOn w:val="Normal"/>
    <w:next w:val="Normal"/>
    <w:uiPriority w:val="9"/>
    <w:semiHidden/>
    <w:unhideWhenUsed/>
    <w:qFormat/>
    <w:rsid w:val="003826E0"/>
    <w:pPr>
      <w:keepNext/>
      <w:keepLines/>
      <w:spacing w:before="220" w:after="40"/>
      <w:outlineLvl w:val="4"/>
    </w:pPr>
    <w:rPr>
      <w:b/>
      <w:sz w:val="22"/>
      <w:szCs w:val="22"/>
      <w:lang w:val="es-ES"/>
    </w:rPr>
  </w:style>
  <w:style w:type="paragraph" w:styleId="Ttulo6">
    <w:name w:val="heading 6"/>
    <w:basedOn w:val="Normal"/>
    <w:next w:val="Normal"/>
    <w:uiPriority w:val="9"/>
    <w:semiHidden/>
    <w:unhideWhenUsed/>
    <w:qFormat/>
    <w:rsid w:val="003826E0"/>
    <w:pPr>
      <w:keepNext/>
      <w:keepLines/>
      <w:spacing w:before="200" w:after="40"/>
      <w:outlineLvl w:val="5"/>
    </w:pPr>
    <w:rPr>
      <w:b/>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3826E0"/>
    <w:pPr>
      <w:keepNext/>
      <w:keepLines/>
      <w:spacing w:before="480" w:after="120"/>
    </w:pPr>
    <w:rPr>
      <w:b/>
      <w:sz w:val="72"/>
      <w:szCs w:val="72"/>
      <w:lang w:val="es-ES"/>
    </w:rPr>
  </w:style>
  <w:style w:type="table" w:customStyle="1" w:styleId="TableNormal0">
    <w:name w:val="Table Normal"/>
    <w:rsid w:val="003826E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val="es-ES"/>
    </w:rPr>
  </w:style>
  <w:style w:type="table" w:customStyle="1" w:styleId="a">
    <w:basedOn w:val="TableNormal0"/>
    <w:rsid w:val="003826E0"/>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4E32CC"/>
    <w:rPr>
      <w:sz w:val="18"/>
      <w:szCs w:val="18"/>
      <w:lang w:val="es-ES"/>
    </w:rPr>
  </w:style>
  <w:style w:type="character" w:customStyle="1" w:styleId="TextodegloboCar">
    <w:name w:val="Texto de globo Car"/>
    <w:basedOn w:val="Fuentedeprrafopredeter"/>
    <w:link w:val="Textodeglobo"/>
    <w:uiPriority w:val="99"/>
    <w:semiHidden/>
    <w:rsid w:val="004E32CC"/>
    <w:rPr>
      <w:sz w:val="18"/>
      <w:szCs w:val="18"/>
    </w:rPr>
  </w:style>
  <w:style w:type="paragraph" w:styleId="Textonotapie">
    <w:name w:val="footnote text"/>
    <w:basedOn w:val="Normal"/>
    <w:link w:val="TextonotapieCar"/>
    <w:uiPriority w:val="99"/>
    <w:semiHidden/>
    <w:unhideWhenUsed/>
    <w:rsid w:val="00F87908"/>
    <w:rPr>
      <w:sz w:val="20"/>
      <w:szCs w:val="20"/>
      <w:lang w:val="es-ES"/>
    </w:rPr>
  </w:style>
  <w:style w:type="character" w:customStyle="1" w:styleId="TextonotapieCar">
    <w:name w:val="Texto nota pie Car"/>
    <w:basedOn w:val="Fuentedeprrafopredeter"/>
    <w:link w:val="Textonotapie"/>
    <w:uiPriority w:val="99"/>
    <w:semiHidden/>
    <w:rsid w:val="00F87908"/>
    <w:rPr>
      <w:sz w:val="20"/>
      <w:szCs w:val="20"/>
    </w:rPr>
  </w:style>
  <w:style w:type="character" w:styleId="Refdenotaalpie">
    <w:name w:val="footnote reference"/>
    <w:basedOn w:val="Fuentedeprrafopredeter"/>
    <w:uiPriority w:val="99"/>
    <w:semiHidden/>
    <w:unhideWhenUsed/>
    <w:rsid w:val="00F87908"/>
    <w:rPr>
      <w:vertAlign w:val="superscript"/>
    </w:rPr>
  </w:style>
  <w:style w:type="character" w:customStyle="1" w:styleId="apple-converted-space">
    <w:name w:val="apple-converted-space"/>
    <w:basedOn w:val="Fuentedeprrafopredeter"/>
    <w:rsid w:val="00F87908"/>
  </w:style>
  <w:style w:type="paragraph" w:styleId="NormalWeb">
    <w:name w:val="Normal (Web)"/>
    <w:basedOn w:val="Normal"/>
    <w:uiPriority w:val="99"/>
    <w:unhideWhenUsed/>
    <w:rsid w:val="00BD0DE8"/>
    <w:pPr>
      <w:spacing w:before="100" w:beforeAutospacing="1" w:after="100" w:afterAutospacing="1"/>
    </w:p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000A2F"/>
    <w:pPr>
      <w:ind w:left="720"/>
      <w:contextualSpacing/>
    </w:pPr>
    <w:rPr>
      <w:lang w:val="es-ES"/>
    </w:rPr>
  </w:style>
  <w:style w:type="paragraph" w:styleId="Revisin">
    <w:name w:val="Revision"/>
    <w:hidden/>
    <w:uiPriority w:val="99"/>
    <w:semiHidden/>
    <w:rsid w:val="00C678BE"/>
  </w:style>
  <w:style w:type="paragraph" w:styleId="Encabezado">
    <w:name w:val="header"/>
    <w:basedOn w:val="Normal"/>
    <w:link w:val="EncabezadoCar"/>
    <w:uiPriority w:val="99"/>
    <w:unhideWhenUsed/>
    <w:rsid w:val="00AF4FDB"/>
    <w:pPr>
      <w:tabs>
        <w:tab w:val="center" w:pos="4252"/>
        <w:tab w:val="right" w:pos="8504"/>
      </w:tabs>
    </w:pPr>
    <w:rPr>
      <w:lang w:val="es-ES"/>
    </w:rPr>
  </w:style>
  <w:style w:type="character" w:customStyle="1" w:styleId="EncabezadoCar">
    <w:name w:val="Encabezado Car"/>
    <w:basedOn w:val="Fuentedeprrafopredeter"/>
    <w:link w:val="Encabezado"/>
    <w:uiPriority w:val="99"/>
    <w:rsid w:val="00AF4FDB"/>
  </w:style>
  <w:style w:type="paragraph" w:styleId="Piedepgina">
    <w:name w:val="footer"/>
    <w:basedOn w:val="Normal"/>
    <w:link w:val="PiedepginaCar"/>
    <w:uiPriority w:val="99"/>
    <w:unhideWhenUsed/>
    <w:rsid w:val="00AF4FDB"/>
    <w:pPr>
      <w:tabs>
        <w:tab w:val="center" w:pos="4252"/>
        <w:tab w:val="right" w:pos="8504"/>
      </w:tabs>
    </w:pPr>
    <w:rPr>
      <w:lang w:val="es-ES"/>
    </w:rPr>
  </w:style>
  <w:style w:type="character" w:customStyle="1" w:styleId="PiedepginaCar">
    <w:name w:val="Pie de página Car"/>
    <w:basedOn w:val="Fuentedeprrafopredeter"/>
    <w:link w:val="Piedepgina"/>
    <w:uiPriority w:val="99"/>
    <w:rsid w:val="00AF4FDB"/>
  </w:style>
  <w:style w:type="table" w:styleId="Tablaconcuadrcula">
    <w:name w:val="Table Grid"/>
    <w:basedOn w:val="Tablanormal"/>
    <w:uiPriority w:val="39"/>
    <w:rsid w:val="00C166FA"/>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1">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2">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3">
    <w:basedOn w:val="TableNormal0"/>
    <w:rPr>
      <w:rFonts w:ascii="Cambria" w:eastAsia="Cambria" w:hAnsi="Cambria" w:cs="Cambria"/>
      <w:sz w:val="22"/>
      <w:szCs w:val="22"/>
    </w:rPr>
    <w:tblPr>
      <w:tblStyleRowBandSize w:val="1"/>
      <w:tblStyleColBandSize w:val="1"/>
      <w:tblCellMar>
        <w:left w:w="108" w:type="dxa"/>
        <w:right w:w="108" w:type="dxa"/>
      </w:tblCellMar>
    </w:tblPr>
  </w:style>
  <w:style w:type="paragraph" w:styleId="Sinespaciado">
    <w:name w:val="No Spacing"/>
    <w:link w:val="SinespaciadoCar"/>
    <w:uiPriority w:val="1"/>
    <w:qFormat/>
    <w:rsid w:val="005A4FEA"/>
    <w:rPr>
      <w:rFonts w:asciiTheme="minorHAnsi" w:eastAsiaTheme="minorHAnsi" w:hAnsiTheme="minorHAnsi" w:cstheme="minorBidi"/>
      <w:sz w:val="22"/>
      <w:szCs w:val="22"/>
      <w:lang w:val="es-CO" w:eastAsia="en-US"/>
    </w:rPr>
  </w:style>
  <w:style w:type="character" w:customStyle="1" w:styleId="SinespaciadoCar">
    <w:name w:val="Sin espaciado Car"/>
    <w:link w:val="Sinespaciado"/>
    <w:uiPriority w:val="1"/>
    <w:locked/>
    <w:rsid w:val="005A4FEA"/>
    <w:rPr>
      <w:rFonts w:asciiTheme="minorHAnsi" w:eastAsiaTheme="minorHAnsi" w:hAnsiTheme="minorHAnsi" w:cstheme="minorBidi"/>
      <w:sz w:val="22"/>
      <w:szCs w:val="22"/>
      <w:lang w:val="es-CO" w:eastAsia="en-U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EA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291">
      <w:bodyDiv w:val="1"/>
      <w:marLeft w:val="0"/>
      <w:marRight w:val="0"/>
      <w:marTop w:val="0"/>
      <w:marBottom w:val="0"/>
      <w:divBdr>
        <w:top w:val="none" w:sz="0" w:space="0" w:color="auto"/>
        <w:left w:val="none" w:sz="0" w:space="0" w:color="auto"/>
        <w:bottom w:val="none" w:sz="0" w:space="0" w:color="auto"/>
        <w:right w:val="none" w:sz="0" w:space="0" w:color="auto"/>
      </w:divBdr>
    </w:div>
    <w:div w:id="87044900">
      <w:bodyDiv w:val="1"/>
      <w:marLeft w:val="0"/>
      <w:marRight w:val="0"/>
      <w:marTop w:val="0"/>
      <w:marBottom w:val="0"/>
      <w:divBdr>
        <w:top w:val="none" w:sz="0" w:space="0" w:color="auto"/>
        <w:left w:val="none" w:sz="0" w:space="0" w:color="auto"/>
        <w:bottom w:val="none" w:sz="0" w:space="0" w:color="auto"/>
        <w:right w:val="none" w:sz="0" w:space="0" w:color="auto"/>
      </w:divBdr>
    </w:div>
    <w:div w:id="398796505">
      <w:bodyDiv w:val="1"/>
      <w:marLeft w:val="0"/>
      <w:marRight w:val="0"/>
      <w:marTop w:val="0"/>
      <w:marBottom w:val="0"/>
      <w:divBdr>
        <w:top w:val="none" w:sz="0" w:space="0" w:color="auto"/>
        <w:left w:val="none" w:sz="0" w:space="0" w:color="auto"/>
        <w:bottom w:val="none" w:sz="0" w:space="0" w:color="auto"/>
        <w:right w:val="none" w:sz="0" w:space="0" w:color="auto"/>
      </w:divBdr>
    </w:div>
    <w:div w:id="505367233">
      <w:bodyDiv w:val="1"/>
      <w:marLeft w:val="0"/>
      <w:marRight w:val="0"/>
      <w:marTop w:val="0"/>
      <w:marBottom w:val="0"/>
      <w:divBdr>
        <w:top w:val="none" w:sz="0" w:space="0" w:color="auto"/>
        <w:left w:val="none" w:sz="0" w:space="0" w:color="auto"/>
        <w:bottom w:val="none" w:sz="0" w:space="0" w:color="auto"/>
        <w:right w:val="none" w:sz="0" w:space="0" w:color="auto"/>
      </w:divBdr>
    </w:div>
    <w:div w:id="512573700">
      <w:bodyDiv w:val="1"/>
      <w:marLeft w:val="0"/>
      <w:marRight w:val="0"/>
      <w:marTop w:val="0"/>
      <w:marBottom w:val="0"/>
      <w:divBdr>
        <w:top w:val="none" w:sz="0" w:space="0" w:color="auto"/>
        <w:left w:val="none" w:sz="0" w:space="0" w:color="auto"/>
        <w:bottom w:val="none" w:sz="0" w:space="0" w:color="auto"/>
        <w:right w:val="none" w:sz="0" w:space="0" w:color="auto"/>
      </w:divBdr>
    </w:div>
    <w:div w:id="608512208">
      <w:bodyDiv w:val="1"/>
      <w:marLeft w:val="0"/>
      <w:marRight w:val="0"/>
      <w:marTop w:val="0"/>
      <w:marBottom w:val="0"/>
      <w:divBdr>
        <w:top w:val="none" w:sz="0" w:space="0" w:color="auto"/>
        <w:left w:val="none" w:sz="0" w:space="0" w:color="auto"/>
        <w:bottom w:val="none" w:sz="0" w:space="0" w:color="auto"/>
        <w:right w:val="none" w:sz="0" w:space="0" w:color="auto"/>
      </w:divBdr>
    </w:div>
    <w:div w:id="643317627">
      <w:bodyDiv w:val="1"/>
      <w:marLeft w:val="0"/>
      <w:marRight w:val="0"/>
      <w:marTop w:val="0"/>
      <w:marBottom w:val="0"/>
      <w:divBdr>
        <w:top w:val="none" w:sz="0" w:space="0" w:color="auto"/>
        <w:left w:val="none" w:sz="0" w:space="0" w:color="auto"/>
        <w:bottom w:val="none" w:sz="0" w:space="0" w:color="auto"/>
        <w:right w:val="none" w:sz="0" w:space="0" w:color="auto"/>
      </w:divBdr>
    </w:div>
    <w:div w:id="687028462">
      <w:bodyDiv w:val="1"/>
      <w:marLeft w:val="0"/>
      <w:marRight w:val="0"/>
      <w:marTop w:val="0"/>
      <w:marBottom w:val="0"/>
      <w:divBdr>
        <w:top w:val="none" w:sz="0" w:space="0" w:color="auto"/>
        <w:left w:val="none" w:sz="0" w:space="0" w:color="auto"/>
        <w:bottom w:val="none" w:sz="0" w:space="0" w:color="auto"/>
        <w:right w:val="none" w:sz="0" w:space="0" w:color="auto"/>
      </w:divBdr>
    </w:div>
    <w:div w:id="895706666">
      <w:bodyDiv w:val="1"/>
      <w:marLeft w:val="0"/>
      <w:marRight w:val="0"/>
      <w:marTop w:val="0"/>
      <w:marBottom w:val="0"/>
      <w:divBdr>
        <w:top w:val="none" w:sz="0" w:space="0" w:color="auto"/>
        <w:left w:val="none" w:sz="0" w:space="0" w:color="auto"/>
        <w:bottom w:val="none" w:sz="0" w:space="0" w:color="auto"/>
        <w:right w:val="none" w:sz="0" w:space="0" w:color="auto"/>
      </w:divBdr>
    </w:div>
    <w:div w:id="1017541467">
      <w:bodyDiv w:val="1"/>
      <w:marLeft w:val="0"/>
      <w:marRight w:val="0"/>
      <w:marTop w:val="0"/>
      <w:marBottom w:val="0"/>
      <w:divBdr>
        <w:top w:val="none" w:sz="0" w:space="0" w:color="auto"/>
        <w:left w:val="none" w:sz="0" w:space="0" w:color="auto"/>
        <w:bottom w:val="none" w:sz="0" w:space="0" w:color="auto"/>
        <w:right w:val="none" w:sz="0" w:space="0" w:color="auto"/>
      </w:divBdr>
    </w:div>
    <w:div w:id="1046491399">
      <w:bodyDiv w:val="1"/>
      <w:marLeft w:val="0"/>
      <w:marRight w:val="0"/>
      <w:marTop w:val="0"/>
      <w:marBottom w:val="0"/>
      <w:divBdr>
        <w:top w:val="none" w:sz="0" w:space="0" w:color="auto"/>
        <w:left w:val="none" w:sz="0" w:space="0" w:color="auto"/>
        <w:bottom w:val="none" w:sz="0" w:space="0" w:color="auto"/>
        <w:right w:val="none" w:sz="0" w:space="0" w:color="auto"/>
      </w:divBdr>
    </w:div>
    <w:div w:id="1067993511">
      <w:bodyDiv w:val="1"/>
      <w:marLeft w:val="0"/>
      <w:marRight w:val="0"/>
      <w:marTop w:val="0"/>
      <w:marBottom w:val="0"/>
      <w:divBdr>
        <w:top w:val="none" w:sz="0" w:space="0" w:color="auto"/>
        <w:left w:val="none" w:sz="0" w:space="0" w:color="auto"/>
        <w:bottom w:val="none" w:sz="0" w:space="0" w:color="auto"/>
        <w:right w:val="none" w:sz="0" w:space="0" w:color="auto"/>
      </w:divBdr>
    </w:div>
    <w:div w:id="1077284504">
      <w:bodyDiv w:val="1"/>
      <w:marLeft w:val="0"/>
      <w:marRight w:val="0"/>
      <w:marTop w:val="0"/>
      <w:marBottom w:val="0"/>
      <w:divBdr>
        <w:top w:val="none" w:sz="0" w:space="0" w:color="auto"/>
        <w:left w:val="none" w:sz="0" w:space="0" w:color="auto"/>
        <w:bottom w:val="none" w:sz="0" w:space="0" w:color="auto"/>
        <w:right w:val="none" w:sz="0" w:space="0" w:color="auto"/>
      </w:divBdr>
    </w:div>
    <w:div w:id="1191408908">
      <w:bodyDiv w:val="1"/>
      <w:marLeft w:val="0"/>
      <w:marRight w:val="0"/>
      <w:marTop w:val="0"/>
      <w:marBottom w:val="0"/>
      <w:divBdr>
        <w:top w:val="none" w:sz="0" w:space="0" w:color="auto"/>
        <w:left w:val="none" w:sz="0" w:space="0" w:color="auto"/>
        <w:bottom w:val="none" w:sz="0" w:space="0" w:color="auto"/>
        <w:right w:val="none" w:sz="0" w:space="0" w:color="auto"/>
      </w:divBdr>
    </w:div>
    <w:div w:id="1594701677">
      <w:bodyDiv w:val="1"/>
      <w:marLeft w:val="0"/>
      <w:marRight w:val="0"/>
      <w:marTop w:val="0"/>
      <w:marBottom w:val="0"/>
      <w:divBdr>
        <w:top w:val="none" w:sz="0" w:space="0" w:color="auto"/>
        <w:left w:val="none" w:sz="0" w:space="0" w:color="auto"/>
        <w:bottom w:val="none" w:sz="0" w:space="0" w:color="auto"/>
        <w:right w:val="none" w:sz="0" w:space="0" w:color="auto"/>
      </w:divBdr>
    </w:div>
    <w:div w:id="1733308681">
      <w:bodyDiv w:val="1"/>
      <w:marLeft w:val="0"/>
      <w:marRight w:val="0"/>
      <w:marTop w:val="0"/>
      <w:marBottom w:val="0"/>
      <w:divBdr>
        <w:top w:val="none" w:sz="0" w:space="0" w:color="auto"/>
        <w:left w:val="none" w:sz="0" w:space="0" w:color="auto"/>
        <w:bottom w:val="none" w:sz="0" w:space="0" w:color="auto"/>
        <w:right w:val="none" w:sz="0" w:space="0" w:color="auto"/>
      </w:divBdr>
    </w:div>
    <w:div w:id="1884250373">
      <w:bodyDiv w:val="1"/>
      <w:marLeft w:val="0"/>
      <w:marRight w:val="0"/>
      <w:marTop w:val="0"/>
      <w:marBottom w:val="0"/>
      <w:divBdr>
        <w:top w:val="none" w:sz="0" w:space="0" w:color="auto"/>
        <w:left w:val="none" w:sz="0" w:space="0" w:color="auto"/>
        <w:bottom w:val="none" w:sz="0" w:space="0" w:color="auto"/>
        <w:right w:val="none" w:sz="0" w:space="0" w:color="auto"/>
      </w:divBdr>
    </w:div>
    <w:div w:id="1962495222">
      <w:bodyDiv w:val="1"/>
      <w:marLeft w:val="0"/>
      <w:marRight w:val="0"/>
      <w:marTop w:val="0"/>
      <w:marBottom w:val="0"/>
      <w:divBdr>
        <w:top w:val="none" w:sz="0" w:space="0" w:color="auto"/>
        <w:left w:val="none" w:sz="0" w:space="0" w:color="auto"/>
        <w:bottom w:val="none" w:sz="0" w:space="0" w:color="auto"/>
        <w:right w:val="none" w:sz="0" w:space="0" w:color="auto"/>
      </w:divBdr>
    </w:div>
    <w:div w:id="2039811834">
      <w:bodyDiv w:val="1"/>
      <w:marLeft w:val="0"/>
      <w:marRight w:val="0"/>
      <w:marTop w:val="0"/>
      <w:marBottom w:val="0"/>
      <w:divBdr>
        <w:top w:val="none" w:sz="0" w:space="0" w:color="auto"/>
        <w:left w:val="none" w:sz="0" w:space="0" w:color="auto"/>
        <w:bottom w:val="none" w:sz="0" w:space="0" w:color="auto"/>
        <w:right w:val="none" w:sz="0" w:space="0" w:color="auto"/>
      </w:divBdr>
    </w:div>
    <w:div w:id="2104950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rteconstitucional.gov.co/relatoria/2017/C-041-1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teconstitucional.gov.co/relatoria/2014/C-283-14.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teconstitucional.gov.co/relatoria/2012/C-889-12.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rteconstitucional.gov.co/relatoria/2005/C-1192-05.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avatma.org/2016/03/08/informe-tecnico-veterinario-sobre-los-espectaculos-taurinos-con-vacas-y-vaquill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jLAKmoYoAg/sHUMxaDIf8FGyA==">AMUW2mXad26jzNL1AcpVZ1n9PC1Nf20uRoDVrDzSWDrCCcNJZmCM4rJ+IiBN1ETkCAr/YGvoMJxXfZwABPTOIF8uuqW6WgdIgttMPXKGjQeUPrGgYntFrkDVe/O4r5n1nlJdAg9CdSJNSfF4UeDF1d+Ic1WsZLCx1HgqjI5SNeX6BD4GnIyFoTQ=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14778</Words>
  <Characters>81283</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Gabriel Riveros</dc:creator>
  <cp:lastModifiedBy>Ana Maria Hinestrosa Villa</cp:lastModifiedBy>
  <cp:revision>5</cp:revision>
  <dcterms:created xsi:type="dcterms:W3CDTF">2022-09-14T17:20:00Z</dcterms:created>
  <dcterms:modified xsi:type="dcterms:W3CDTF">2022-09-14T17:29:00Z</dcterms:modified>
</cp:coreProperties>
</file>